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2F" w:rsidRPr="00354B6B" w:rsidRDefault="00D83F2F" w:rsidP="00D83F2F">
      <w:pPr>
        <w:jc w:val="center"/>
        <w:rPr>
          <w:rFonts w:ascii="Arial" w:hAnsi="Arial" w:cs="Arial"/>
        </w:rPr>
      </w:pPr>
    </w:p>
    <w:p w:rsidR="00D83F2F" w:rsidRDefault="00D83F2F" w:rsidP="00D83F2F">
      <w:pPr>
        <w:jc w:val="center"/>
        <w:rPr>
          <w:rFonts w:ascii="Arial" w:hAnsi="Arial" w:cs="Arial"/>
          <w:b/>
        </w:rPr>
      </w:pPr>
      <w:r w:rsidRPr="00354B6B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eneral </w:t>
      </w:r>
      <w:r w:rsidRPr="00354B6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ervices </w:t>
      </w:r>
      <w:r w:rsidRPr="00354B6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dministration (GSA)</w:t>
      </w:r>
    </w:p>
    <w:p w:rsidR="00D83F2F" w:rsidRDefault="00D83F2F" w:rsidP="00D83F2F">
      <w:pPr>
        <w:jc w:val="center"/>
        <w:rPr>
          <w:rFonts w:ascii="Arial" w:hAnsi="Arial" w:cs="Arial"/>
          <w:b/>
        </w:rPr>
      </w:pPr>
      <w:r w:rsidRPr="00354B6B">
        <w:rPr>
          <w:rFonts w:ascii="Arial" w:hAnsi="Arial" w:cs="Arial"/>
          <w:b/>
        </w:rPr>
        <w:t xml:space="preserve"> Homeland Security Presidential Directive (HSPD)-12</w:t>
      </w:r>
    </w:p>
    <w:p w:rsidR="00D83F2F" w:rsidRPr="00354B6B" w:rsidRDefault="00D83F2F" w:rsidP="00D83F2F">
      <w:pPr>
        <w:jc w:val="center"/>
        <w:rPr>
          <w:rFonts w:ascii="Arial" w:hAnsi="Arial" w:cs="Arial"/>
          <w:b/>
        </w:rPr>
      </w:pPr>
      <w:r w:rsidRPr="00354B6B">
        <w:rPr>
          <w:rFonts w:ascii="Arial" w:hAnsi="Arial" w:cs="Arial"/>
          <w:b/>
        </w:rPr>
        <w:t xml:space="preserve">Implementation </w:t>
      </w:r>
      <w:r>
        <w:rPr>
          <w:rFonts w:ascii="Arial" w:hAnsi="Arial" w:cs="Arial"/>
          <w:b/>
        </w:rPr>
        <w:t>Status Report</w:t>
      </w:r>
    </w:p>
    <w:p w:rsidR="00D83F2F" w:rsidRPr="00104A76" w:rsidRDefault="00D83F2F" w:rsidP="00D83F2F">
      <w:pPr>
        <w:jc w:val="center"/>
        <w:rPr>
          <w:rFonts w:ascii="Arial" w:hAnsi="Arial" w:cs="Arial"/>
          <w:sz w:val="16"/>
          <w:szCs w:val="16"/>
        </w:rPr>
      </w:pPr>
    </w:p>
    <w:p w:rsidR="00D83F2F" w:rsidRPr="00713981" w:rsidRDefault="00D83F2F" w:rsidP="00D83F2F">
      <w:pPr>
        <w:jc w:val="center"/>
        <w:rPr>
          <w:rFonts w:ascii="Arial" w:hAnsi="Arial" w:cs="Arial"/>
          <w:b/>
        </w:rPr>
      </w:pPr>
      <w:r w:rsidRPr="00713981">
        <w:rPr>
          <w:rFonts w:ascii="Arial" w:hAnsi="Arial" w:cs="Arial"/>
        </w:rPr>
        <w:t xml:space="preserve">Last Updated:  </w:t>
      </w:r>
      <w:r w:rsidR="00F27479">
        <w:rPr>
          <w:rFonts w:ascii="Arial" w:hAnsi="Arial" w:cs="Arial"/>
          <w:b/>
        </w:rPr>
        <w:t xml:space="preserve">1 </w:t>
      </w:r>
      <w:r w:rsidR="006A58BB">
        <w:rPr>
          <w:rFonts w:ascii="Arial" w:hAnsi="Arial" w:cs="Arial"/>
          <w:b/>
        </w:rPr>
        <w:t>December</w:t>
      </w:r>
      <w:r w:rsidR="00716C5F">
        <w:rPr>
          <w:rFonts w:ascii="Arial" w:hAnsi="Arial" w:cs="Arial"/>
          <w:b/>
        </w:rPr>
        <w:t xml:space="preserve"> 2017</w:t>
      </w:r>
    </w:p>
    <w:p w:rsidR="00E141CD" w:rsidRDefault="00E141CD" w:rsidP="00D83F2F"/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165"/>
        <w:gridCol w:w="1165"/>
        <w:gridCol w:w="1165"/>
        <w:gridCol w:w="1305"/>
        <w:gridCol w:w="1165"/>
        <w:gridCol w:w="1165"/>
        <w:gridCol w:w="1165"/>
        <w:gridCol w:w="1169"/>
        <w:gridCol w:w="1215"/>
        <w:gridCol w:w="1169"/>
        <w:gridCol w:w="1033"/>
        <w:gridCol w:w="1448"/>
        <w:gridCol w:w="1089"/>
        <w:gridCol w:w="1150"/>
        <w:gridCol w:w="1168"/>
      </w:tblGrid>
      <w:tr w:rsidR="00F07AEE" w:rsidTr="001013B8">
        <w:trPr>
          <w:cantSplit/>
          <w:trHeight w:val="2362"/>
          <w:tblHeader/>
          <w:jc w:val="center"/>
        </w:trPr>
        <w:tc>
          <w:tcPr>
            <w:tcW w:w="1166" w:type="dxa"/>
            <w:shd w:val="clear" w:color="auto" w:fill="CCFFFF"/>
          </w:tcPr>
          <w:p w:rsidR="00F07AEE" w:rsidRPr="006B1FBA" w:rsidRDefault="00F07AEE" w:rsidP="001013B8">
            <w:pPr>
              <w:rPr>
                <w:bCs/>
                <w:sz w:val="18"/>
                <w:szCs w:val="18"/>
              </w:rPr>
            </w:pPr>
            <w:r w:rsidRPr="006B1FBA">
              <w:rPr>
                <w:bCs/>
                <w:sz w:val="18"/>
                <w:szCs w:val="18"/>
              </w:rPr>
              <w:t xml:space="preserve">Updated Date:  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CECFF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Number of Employees requiring PIV credentials*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CECFF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Number of Employees requiring a NACI (or at least equivalent) that have not previously undergone a background check*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CECFF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Number of Employees requiring a NACI (or at least equivalent) with background investigation in process*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CCECFF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Number of Employees with completed/ adjudicated NACI (or equivalent background investigation)*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CECFF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Total Number of PIV credentials Issued to Employees*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CFFCC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Number of Contractors requiring PIV credentials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CFFCC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Number of Contractors requiring NACI (or at least equivalent) that have not previously undergone a background check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CCFFCC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 xml:space="preserve">Number of Contractors requiring a NACI (or at least equivalent) with background investigation in process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CCFFCC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Number of Contractors with completed/ adjudicated NACI (or equivalent  background investigation)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CCFFCC"/>
          </w:tcPr>
          <w:p w:rsidR="00F07AEE" w:rsidRPr="00CF0538" w:rsidRDefault="00F07AEE" w:rsidP="001013B8">
            <w:pPr>
              <w:rPr>
                <w:sz w:val="18"/>
                <w:szCs w:val="18"/>
              </w:rPr>
            </w:pPr>
            <w:r w:rsidRPr="00CF0538">
              <w:rPr>
                <w:sz w:val="18"/>
                <w:szCs w:val="18"/>
              </w:rPr>
              <w:t>Total Number of PIV credentials Issued to Contractors</w:t>
            </w:r>
          </w:p>
        </w:tc>
        <w:tc>
          <w:tcPr>
            <w:tcW w:w="1033" w:type="dxa"/>
            <w:shd w:val="clear" w:color="auto" w:fill="FFFFCC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Number of other individuals (e.g. guest researchers) requiring PIV credentials</w:t>
            </w:r>
          </w:p>
        </w:tc>
        <w:tc>
          <w:tcPr>
            <w:tcW w:w="1448" w:type="dxa"/>
            <w:shd w:val="clear" w:color="auto" w:fill="FFFFCC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Number of other individuals (e.g. guest researcher) requiring NACI (or at least equivalent) that have not previously undergone a background  check</w:t>
            </w:r>
          </w:p>
        </w:tc>
        <w:tc>
          <w:tcPr>
            <w:tcW w:w="1089" w:type="dxa"/>
            <w:shd w:val="clear" w:color="auto" w:fill="FFFFCC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 xml:space="preserve">Number of other individuals requiring a NACI (or at least equivalent) with background investigation in process </w:t>
            </w:r>
          </w:p>
        </w:tc>
        <w:tc>
          <w:tcPr>
            <w:tcW w:w="1150" w:type="dxa"/>
            <w:shd w:val="clear" w:color="auto" w:fill="FFFFCC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Number of other individuals with completed/ adjudicated NACI (or equivalent background investigation)</w:t>
            </w:r>
          </w:p>
        </w:tc>
        <w:tc>
          <w:tcPr>
            <w:tcW w:w="1168" w:type="dxa"/>
            <w:shd w:val="clear" w:color="auto" w:fill="FFFFCC"/>
          </w:tcPr>
          <w:p w:rsidR="00F07AEE" w:rsidRPr="006B1FBA" w:rsidRDefault="00F07AEE" w:rsidP="001013B8">
            <w:pPr>
              <w:rPr>
                <w:sz w:val="18"/>
                <w:szCs w:val="18"/>
              </w:rPr>
            </w:pPr>
            <w:r w:rsidRPr="006B1FBA">
              <w:rPr>
                <w:sz w:val="18"/>
                <w:szCs w:val="18"/>
              </w:rPr>
              <w:t>Total Number of PIV credentials issued to individuals other than employees or contractors (e.g. guest researchers)</w:t>
            </w:r>
          </w:p>
        </w:tc>
      </w:tr>
      <w:tr w:rsidR="00F07AEE" w:rsidTr="001013B8">
        <w:trPr>
          <w:cantSplit/>
          <w:trHeight w:val="556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June 1 2007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12100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56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Sep 1 2007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12097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3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N/A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56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Dec 1 2007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12060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4019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1530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8081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40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62938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52700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11799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10300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62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56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Mar 1 2008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10773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2306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934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9794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1327 (11%)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42582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29409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12477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13591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418 (0.98%)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56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June 1</w:t>
            </w:r>
          </w:p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2008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7715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1303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441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10621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4209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(35.29%)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42081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25399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13317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17601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919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(2.13%)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56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Sep 1 2008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5890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684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528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11563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6357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(51.9%)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5727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3570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1904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3541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1384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(19.4%)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Dec 1</w:t>
            </w:r>
          </w:p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2008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1863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222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111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11784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10143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(84.5%)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6216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4324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3082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4293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2401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(27.8%)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Mar 1</w:t>
            </w:r>
          </w:p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2009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605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bCs/>
              </w:rPr>
            </w:pPr>
            <w:r w:rsidRPr="006B1FBA">
              <w:rPr>
                <w:b/>
                <w:bCs/>
              </w:rPr>
              <w:t>81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28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11938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11414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(94.9%)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5794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3905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1571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5821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3932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(40.5%)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June 1</w:t>
            </w:r>
          </w:p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2009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343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bCs/>
              </w:rPr>
            </w:pPr>
            <w:r w:rsidRPr="006B1FBA">
              <w:rPr>
                <w:b/>
                <w:bCs/>
              </w:rPr>
              <w:t>86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25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11933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11676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(97.1%)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4686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3258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1609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6999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5571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(54.3%)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Sep 1 2009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66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bCs/>
              </w:rPr>
            </w:pPr>
            <w:r w:rsidRPr="006B1FBA">
              <w:rPr>
                <w:b/>
                <w:bCs/>
              </w:rPr>
              <w:t>68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13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12082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12084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(99.5%)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 xml:space="preserve"> 3496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1878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1872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9139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7521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(68.3%)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Dec 1</w:t>
            </w:r>
          </w:p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2009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49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bCs/>
              </w:rPr>
            </w:pPr>
            <w:r w:rsidRPr="006B1FBA">
              <w:rPr>
                <w:b/>
                <w:bCs/>
              </w:rPr>
              <w:t>60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13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12342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12353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(99.6%)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3809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2136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2130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9906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8233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(68.4%)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lastRenderedPageBreak/>
              <w:t>Mar 1</w:t>
            </w:r>
          </w:p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2010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bCs/>
              </w:rPr>
            </w:pPr>
            <w:r w:rsidRPr="006B1FBA">
              <w:rPr>
                <w:b/>
                <w:bCs/>
              </w:rPr>
              <w:t>46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7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12368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12372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4387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3909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2224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9271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8793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(66.7%)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June 1</w:t>
            </w:r>
          </w:p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2010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bCs/>
              </w:rPr>
            </w:pPr>
            <w:r w:rsidRPr="006B1FBA">
              <w:rPr>
                <w:b/>
                <w:bCs/>
              </w:rPr>
              <w:t>4</w:t>
            </w:r>
            <w:r>
              <w:rPr>
                <w:b/>
                <w:bCs/>
              </w:rPr>
              <w:t>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1251</w:t>
            </w:r>
            <w:r>
              <w:rPr>
                <w:b/>
              </w:rPr>
              <w:t>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12521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4693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4029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2273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10234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9570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(67.1%)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Sep</w:t>
            </w:r>
            <w:r w:rsidRPr="006B1FBA">
              <w:rPr>
                <w:b/>
                <w:i/>
                <w:iCs/>
              </w:rPr>
              <w:t xml:space="preserve"> 1</w:t>
            </w:r>
          </w:p>
          <w:p w:rsidR="00F07AEE" w:rsidRPr="006B1FBA" w:rsidRDefault="00F07AEE" w:rsidP="001013B8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2010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</w:t>
            </w:r>
            <w:r>
              <w:rPr>
                <w:b/>
              </w:rPr>
              <w:t>785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12</w:t>
            </w:r>
            <w:r>
              <w:rPr>
                <w:b/>
              </w:rPr>
              <w:t>783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5060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4</w:t>
            </w:r>
            <w:r>
              <w:rPr>
                <w:b/>
              </w:rPr>
              <w:t>967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2476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10</w:t>
            </w:r>
            <w:r>
              <w:rPr>
                <w:b/>
              </w:rPr>
              <w:t>603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1051</w:t>
            </w:r>
            <w:r w:rsidRPr="006B1FBA">
              <w:rPr>
                <w:b/>
              </w:rPr>
              <w:t>0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(67.1%)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 w:rsidRPr="006B1FBA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Dec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12741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12723</w:t>
            </w:r>
          </w:p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5667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4274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2942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12951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11558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(67.1%)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6B1FBA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Mar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12624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12606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6032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5006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2463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13440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12414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(67.3%)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June 1 2011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12686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12667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6580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4789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3097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15227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13436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(67.1%)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Sep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12679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12655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6986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3043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16361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14266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(67.1%)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Dec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12653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12629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7324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5621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3337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16708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15005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(67.2%)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Mar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12502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12478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8458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4172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3598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16146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15458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(64.6%)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Jun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12570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12546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7005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2725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3587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16221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15528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(68.9%)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Sep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12653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12628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7496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2627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3463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17162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15752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(67.8%)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Dec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12222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12197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7604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3026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3617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17187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16226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(68.1%)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Mar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12008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11983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6404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3253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3370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16708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16927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(72.5%)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June 1 2013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12116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12091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8603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3390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3709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19087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17583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(67.2%)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Sep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12064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12034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9362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3453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3647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20374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18112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(65.9%)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Dec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11851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11820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7573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3744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3382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19058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18611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(71.08%)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Mar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11424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11394</w:t>
            </w:r>
          </w:p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11988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4242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4249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22950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19453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(61.87%)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June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11740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11709</w:t>
            </w:r>
          </w:p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12367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4255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4349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23356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19593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(61.30%)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Sep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11719</w:t>
            </w:r>
          </w:p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12958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4537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4310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24341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20230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(60.96%)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Dec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2014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11677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11646</w:t>
            </w:r>
          </w:p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13374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4751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4551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24692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20620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(60.7%)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  <w:i/>
                <w:iCs/>
              </w:rPr>
            </w:pPr>
            <w:r w:rsidRPr="00977B2E">
              <w:rPr>
                <w:b/>
                <w:i/>
                <w:iCs/>
              </w:rPr>
              <w:t>Mar 1</w:t>
            </w:r>
          </w:p>
          <w:p w:rsidR="00F07AEE" w:rsidRPr="00977B2E" w:rsidRDefault="00F07AEE" w:rsidP="001013B8">
            <w:pPr>
              <w:jc w:val="center"/>
              <w:rPr>
                <w:b/>
                <w:i/>
                <w:iCs/>
              </w:rPr>
            </w:pPr>
            <w:r w:rsidRPr="00977B2E">
              <w:rPr>
                <w:b/>
                <w:i/>
                <w:iCs/>
              </w:rPr>
              <w:t>2015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</w:rPr>
            </w:pPr>
            <w:r w:rsidRPr="00977B2E"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  <w:bCs/>
              </w:rPr>
            </w:pPr>
            <w:r w:rsidRPr="00977B2E"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</w:rPr>
            </w:pPr>
            <w:r w:rsidRPr="00977B2E"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</w:rPr>
            </w:pPr>
            <w:r w:rsidRPr="00977B2E">
              <w:rPr>
                <w:b/>
              </w:rPr>
              <w:t>11586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977B2E" w:rsidRDefault="00F07AEE" w:rsidP="001013B8">
            <w:pPr>
              <w:rPr>
                <w:b/>
              </w:rPr>
            </w:pPr>
            <w:r w:rsidRPr="00977B2E">
              <w:rPr>
                <w:b/>
              </w:rPr>
              <w:t>11555</w:t>
            </w:r>
          </w:p>
          <w:p w:rsidR="00F07AEE" w:rsidRPr="00977B2E" w:rsidRDefault="00F07AEE" w:rsidP="001013B8">
            <w:pPr>
              <w:rPr>
                <w:b/>
              </w:rPr>
            </w:pPr>
            <w:r w:rsidRPr="00977B2E"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6011F3" w:rsidRDefault="00F07AEE" w:rsidP="001013B8">
            <w:pPr>
              <w:jc w:val="center"/>
              <w:rPr>
                <w:b/>
                <w:highlight w:val="yellow"/>
              </w:rPr>
            </w:pPr>
            <w:r w:rsidRPr="00977B2E">
              <w:rPr>
                <w:b/>
              </w:rPr>
              <w:t>13916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</w:rPr>
            </w:pPr>
            <w:r w:rsidRPr="00977B2E">
              <w:rPr>
                <w:b/>
              </w:rPr>
              <w:t>8606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</w:rPr>
            </w:pPr>
            <w:r w:rsidRPr="00977B2E">
              <w:rPr>
                <w:b/>
              </w:rPr>
              <w:t>6409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</w:rPr>
            </w:pPr>
            <w:r w:rsidRPr="00977B2E">
              <w:rPr>
                <w:b/>
              </w:rPr>
              <w:t>25941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6011F3" w:rsidRDefault="00F07AEE" w:rsidP="001013B8">
            <w:pPr>
              <w:jc w:val="center"/>
              <w:rPr>
                <w:b/>
                <w:highlight w:val="yellow"/>
              </w:rPr>
            </w:pPr>
            <w:r w:rsidRPr="00977B2E">
              <w:rPr>
                <w:b/>
              </w:rPr>
              <w:t>20891</w:t>
            </w:r>
            <w:r w:rsidRPr="00977B2E">
              <w:rPr>
                <w:b/>
              </w:rPr>
              <w:br/>
              <w:t>(60.0%)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</w:rPr>
            </w:pPr>
            <w:r w:rsidRPr="00977B2E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</w:rPr>
            </w:pPr>
            <w:r w:rsidRPr="00977B2E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</w:rPr>
            </w:pPr>
            <w:r w:rsidRPr="00977B2E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</w:rPr>
            </w:pPr>
            <w:r w:rsidRPr="00977B2E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977B2E" w:rsidRDefault="00F07AEE" w:rsidP="001013B8">
            <w:pPr>
              <w:jc w:val="center"/>
              <w:rPr>
                <w:b/>
              </w:rPr>
            </w:pPr>
            <w:r w:rsidRPr="00977B2E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  <w:i/>
                <w:iCs/>
              </w:rPr>
            </w:pPr>
            <w:r w:rsidRPr="001C05C7">
              <w:rPr>
                <w:b/>
                <w:i/>
                <w:iCs/>
              </w:rPr>
              <w:t>Jun 1</w:t>
            </w:r>
          </w:p>
          <w:p w:rsidR="00F07AEE" w:rsidRPr="001C05C7" w:rsidRDefault="00F07AEE" w:rsidP="001013B8">
            <w:pPr>
              <w:jc w:val="center"/>
              <w:rPr>
                <w:b/>
                <w:i/>
                <w:iCs/>
              </w:rPr>
            </w:pPr>
            <w:r w:rsidRPr="001C05C7">
              <w:rPr>
                <w:b/>
                <w:i/>
                <w:iCs/>
              </w:rPr>
              <w:t>2015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  <w:bCs/>
              </w:rPr>
            </w:pPr>
            <w:r w:rsidRPr="001C05C7"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11648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Pr="001C05C7" w:rsidRDefault="00F07AEE" w:rsidP="001013B8">
            <w:pPr>
              <w:rPr>
                <w:b/>
              </w:rPr>
            </w:pPr>
            <w:r w:rsidRPr="001C05C7">
              <w:rPr>
                <w:b/>
              </w:rPr>
              <w:t>11617</w:t>
            </w:r>
          </w:p>
          <w:p w:rsidR="00F07AEE" w:rsidRPr="001C05C7" w:rsidRDefault="00F07AEE" w:rsidP="001013B8">
            <w:pPr>
              <w:rPr>
                <w:b/>
              </w:rPr>
            </w:pPr>
            <w:r w:rsidRPr="001C05C7"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14452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10114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6264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29045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21364</w:t>
            </w:r>
          </w:p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(59.5%)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Pr="001C05C7" w:rsidRDefault="00F07AEE" w:rsidP="001013B8">
            <w:pPr>
              <w:jc w:val="center"/>
              <w:rPr>
                <w:b/>
              </w:rPr>
            </w:pPr>
            <w:r w:rsidRPr="001C05C7"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Sep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2015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11689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11658</w:t>
            </w:r>
          </w:p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14816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11262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6472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31628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22019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(59.8%)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Dec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2015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1209</w:t>
            </w:r>
            <w:r w:rsidR="00735A76">
              <w:rPr>
                <w:b/>
              </w:rPr>
              <w:t>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12064</w:t>
            </w:r>
          </w:p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15702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841FB1" w:rsidRDefault="00735A76" w:rsidP="001013B8">
            <w:pPr>
              <w:jc w:val="center"/>
              <w:rPr>
                <w:b/>
              </w:rPr>
            </w:pPr>
            <w:r>
              <w:rPr>
                <w:b/>
              </w:rPr>
              <w:t>14355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841FB1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7124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841FB1" w:rsidRDefault="00735A76" w:rsidP="001013B8">
            <w:pPr>
              <w:jc w:val="center"/>
              <w:rPr>
                <w:b/>
              </w:rPr>
            </w:pPr>
            <w:r>
              <w:rPr>
                <w:b/>
              </w:rPr>
              <w:t>39435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25148</w:t>
            </w:r>
          </w:p>
          <w:p w:rsidR="00F07AEE" w:rsidRPr="00841FB1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(61.6%)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Mar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11312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11281</w:t>
            </w:r>
          </w:p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D51DD3" w:rsidP="001013B8">
            <w:pPr>
              <w:jc w:val="center"/>
              <w:rPr>
                <w:b/>
              </w:rPr>
            </w:pPr>
            <w:r>
              <w:rPr>
                <w:b/>
              </w:rPr>
              <w:t>15199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841FB1" w:rsidRDefault="00D51DD3" w:rsidP="001013B8">
            <w:pPr>
              <w:jc w:val="center"/>
              <w:rPr>
                <w:b/>
              </w:rPr>
            </w:pPr>
            <w:r>
              <w:rPr>
                <w:b/>
              </w:rPr>
              <w:t>11072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841FB1" w:rsidRDefault="00D51DD3" w:rsidP="001013B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4E0558">
              <w:rPr>
                <w:b/>
              </w:rPr>
              <w:t>59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841FB1" w:rsidRDefault="00D51DD3" w:rsidP="001013B8">
            <w:pPr>
              <w:jc w:val="center"/>
              <w:rPr>
                <w:b/>
              </w:rPr>
            </w:pPr>
            <w:r>
              <w:rPr>
                <w:b/>
              </w:rPr>
              <w:t>38492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22789</w:t>
            </w:r>
          </w:p>
          <w:p w:rsidR="00F07AEE" w:rsidRPr="00841FB1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(62.5%)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Jun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11843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11812</w:t>
            </w:r>
          </w:p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16184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 w:rsidRPr="00841FB1">
              <w:rPr>
                <w:b/>
              </w:rPr>
              <w:t>13463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 w:rsidRPr="00841FB1">
              <w:rPr>
                <w:b/>
              </w:rPr>
              <w:t>6731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 w:rsidRPr="00841FB1">
              <w:rPr>
                <w:b/>
              </w:rPr>
              <w:t>39987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 w:rsidRPr="00841FB1">
              <w:rPr>
                <w:b/>
              </w:rPr>
              <w:t>24683</w:t>
            </w:r>
          </w:p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(60.4%)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AEE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Sep 1</w:t>
            </w:r>
          </w:p>
          <w:p w:rsidR="00F07AEE" w:rsidRDefault="00F07AEE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1209</w:t>
            </w:r>
            <w:r w:rsidR="00735A76">
              <w:rPr>
                <w:b/>
              </w:rPr>
              <w:t>5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12064</w:t>
            </w:r>
          </w:p>
          <w:p w:rsidR="00F07AEE" w:rsidRDefault="00F07AEE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A7654A" w:rsidRDefault="00F07AEE" w:rsidP="001013B8">
            <w:pPr>
              <w:jc w:val="center"/>
              <w:rPr>
                <w:b/>
              </w:rPr>
            </w:pPr>
            <w:r w:rsidRPr="00A7654A">
              <w:rPr>
                <w:b/>
              </w:rPr>
              <w:t>15704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F07AEE" w:rsidRPr="00A7654A" w:rsidRDefault="00F07AEE" w:rsidP="001013B8">
            <w:pPr>
              <w:jc w:val="center"/>
              <w:rPr>
                <w:b/>
              </w:rPr>
            </w:pPr>
            <w:r w:rsidRPr="00A7654A">
              <w:rPr>
                <w:b/>
              </w:rPr>
              <w:t>14,415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Pr="00A7654A" w:rsidRDefault="00F07AEE" w:rsidP="001013B8">
            <w:pPr>
              <w:jc w:val="center"/>
              <w:rPr>
                <w:b/>
              </w:rPr>
            </w:pPr>
            <w:r w:rsidRPr="00A7654A">
              <w:rPr>
                <w:b/>
              </w:rPr>
              <w:t>7211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F07AEE" w:rsidRPr="00A7654A" w:rsidRDefault="00F07AEE" w:rsidP="001013B8">
            <w:pPr>
              <w:jc w:val="center"/>
              <w:rPr>
                <w:b/>
              </w:rPr>
            </w:pPr>
            <w:r w:rsidRPr="00A7654A">
              <w:rPr>
                <w:b/>
              </w:rPr>
              <w:t>39217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 w:rsidRPr="00E07A9D">
              <w:rPr>
                <w:b/>
              </w:rPr>
              <w:t>25159</w:t>
            </w:r>
          </w:p>
          <w:p w:rsidR="00F07AEE" w:rsidRPr="00841FB1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(61.6%)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F07AEE" w:rsidRDefault="00F07AEE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2400B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62400B" w:rsidRDefault="0062400B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Dec 1 2016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62400B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62400B" w:rsidRDefault="0062400B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62400B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62400B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12232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62400B" w:rsidRDefault="0062400B" w:rsidP="001013B8">
            <w:pPr>
              <w:rPr>
                <w:b/>
              </w:rPr>
            </w:pPr>
            <w:r>
              <w:rPr>
                <w:b/>
              </w:rPr>
              <w:t>12201 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62400B" w:rsidRPr="00A7654A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17518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62400B" w:rsidRPr="00A7654A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15047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62400B" w:rsidRPr="00A7654A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7111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62400B" w:rsidRPr="00A7654A" w:rsidRDefault="0062400B" w:rsidP="001013B8">
            <w:pPr>
              <w:jc w:val="center"/>
              <w:rPr>
                <w:b/>
              </w:rPr>
            </w:pPr>
            <w:r w:rsidRPr="00A70CD3">
              <w:rPr>
                <w:b/>
              </w:rPr>
              <w:t>38044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62400B" w:rsidRPr="00D810A1" w:rsidRDefault="0062400B" w:rsidP="001013B8">
            <w:pPr>
              <w:jc w:val="center"/>
              <w:rPr>
                <w:b/>
              </w:rPr>
            </w:pPr>
            <w:r w:rsidRPr="00D810A1">
              <w:rPr>
                <w:b/>
              </w:rPr>
              <w:t xml:space="preserve">24194 </w:t>
            </w:r>
          </w:p>
          <w:p w:rsidR="0062400B" w:rsidRPr="00E07A9D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(57.1%)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62400B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62400B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62400B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62400B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62400B" w:rsidRDefault="0062400B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16C5F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716C5F" w:rsidRDefault="00716C5F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Mar 1 2017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716C5F" w:rsidRDefault="00716C5F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716C5F" w:rsidRDefault="00716C5F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716C5F" w:rsidRDefault="00716C5F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716C5F" w:rsidRDefault="00716C5F" w:rsidP="001013B8">
            <w:pPr>
              <w:jc w:val="center"/>
              <w:rPr>
                <w:b/>
              </w:rPr>
            </w:pPr>
            <w:r>
              <w:rPr>
                <w:b/>
              </w:rPr>
              <w:t>12302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716C5F" w:rsidRDefault="00716C5F" w:rsidP="001013B8">
            <w:pPr>
              <w:rPr>
                <w:b/>
              </w:rPr>
            </w:pPr>
            <w:r>
              <w:rPr>
                <w:b/>
              </w:rPr>
              <w:t>12271</w:t>
            </w:r>
          </w:p>
          <w:p w:rsidR="00716C5F" w:rsidRDefault="00716C5F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716C5F" w:rsidRDefault="000F4E94" w:rsidP="001013B8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="00716C5F">
              <w:rPr>
                <w:b/>
              </w:rPr>
              <w:t>97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716C5F" w:rsidRDefault="00716C5F" w:rsidP="001013B8">
            <w:pPr>
              <w:jc w:val="center"/>
              <w:rPr>
                <w:b/>
              </w:rPr>
            </w:pPr>
            <w:r w:rsidRPr="00576D5F">
              <w:rPr>
                <w:b/>
              </w:rPr>
              <w:t>14719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716C5F" w:rsidRDefault="00716C5F" w:rsidP="001013B8">
            <w:pPr>
              <w:jc w:val="center"/>
              <w:rPr>
                <w:b/>
              </w:rPr>
            </w:pPr>
            <w:r w:rsidRPr="00576D5F">
              <w:rPr>
                <w:b/>
              </w:rPr>
              <w:t>9653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716C5F" w:rsidRPr="00A70CD3" w:rsidRDefault="00716C5F" w:rsidP="001013B8">
            <w:pPr>
              <w:jc w:val="center"/>
              <w:rPr>
                <w:b/>
              </w:rPr>
            </w:pPr>
            <w:r w:rsidRPr="00576D5F">
              <w:rPr>
                <w:b/>
              </w:rPr>
              <w:t>34973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716C5F" w:rsidRPr="00576D5F" w:rsidRDefault="00716C5F" w:rsidP="001013B8">
            <w:pPr>
              <w:jc w:val="center"/>
              <w:rPr>
                <w:b/>
              </w:rPr>
            </w:pPr>
            <w:r w:rsidRPr="00576D5F">
              <w:rPr>
                <w:b/>
              </w:rPr>
              <w:t>25982</w:t>
            </w:r>
          </w:p>
          <w:p w:rsidR="00716C5F" w:rsidRPr="00D810A1" w:rsidRDefault="00716C5F" w:rsidP="001013B8">
            <w:pPr>
              <w:jc w:val="center"/>
              <w:rPr>
                <w:b/>
              </w:rPr>
            </w:pPr>
            <w:r>
              <w:rPr>
                <w:b/>
              </w:rPr>
              <w:t>(60.6%)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716C5F" w:rsidRDefault="00716C5F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716C5F" w:rsidRDefault="00716C5F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716C5F" w:rsidRDefault="00716C5F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716C5F" w:rsidRDefault="00716C5F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716C5F" w:rsidRDefault="00716C5F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013B8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1013B8" w:rsidRDefault="001013B8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Jun 1 2017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1013B8" w:rsidRDefault="000F4E94" w:rsidP="001013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1013B8" w:rsidRDefault="000F4E94" w:rsidP="00101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1013B8" w:rsidRDefault="000F4E94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1013B8" w:rsidRDefault="000F4E94" w:rsidP="001013B8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="004C2986">
              <w:rPr>
                <w:b/>
              </w:rPr>
              <w:t>95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1013B8" w:rsidRDefault="004C2986" w:rsidP="001013B8">
            <w:pPr>
              <w:rPr>
                <w:b/>
              </w:rPr>
            </w:pPr>
            <w:r>
              <w:rPr>
                <w:b/>
              </w:rPr>
              <w:t>12264</w:t>
            </w:r>
          </w:p>
          <w:p w:rsidR="000F4E94" w:rsidRDefault="000F4E94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1013B8" w:rsidRDefault="00741545" w:rsidP="000E6AE8">
            <w:pPr>
              <w:jc w:val="center"/>
              <w:rPr>
                <w:b/>
              </w:rPr>
            </w:pPr>
            <w:r w:rsidRPr="00741545">
              <w:rPr>
                <w:b/>
              </w:rPr>
              <w:t>1</w:t>
            </w:r>
            <w:r w:rsidR="000E6AE8">
              <w:rPr>
                <w:b/>
              </w:rPr>
              <w:t>37</w:t>
            </w:r>
            <w:r w:rsidR="00DC41A8">
              <w:rPr>
                <w:b/>
              </w:rPr>
              <w:t>67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1013B8" w:rsidRPr="00576D5F" w:rsidRDefault="000F4E94" w:rsidP="007C44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4428">
              <w:rPr>
                <w:b/>
              </w:rPr>
              <w:t>1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1013B8" w:rsidRPr="00576D5F" w:rsidRDefault="008F48F3" w:rsidP="001013B8">
            <w:pPr>
              <w:jc w:val="center"/>
              <w:rPr>
                <w:b/>
              </w:rPr>
            </w:pPr>
            <w:r>
              <w:rPr>
                <w:b/>
              </w:rPr>
              <w:t>6909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1013B8" w:rsidRPr="00576D5F" w:rsidRDefault="004C424F" w:rsidP="004C424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8F48F3">
              <w:rPr>
                <w:b/>
              </w:rPr>
              <w:t>846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1013B8" w:rsidRPr="00576D5F" w:rsidRDefault="000F4E94" w:rsidP="000E6AE8">
            <w:pPr>
              <w:jc w:val="center"/>
              <w:rPr>
                <w:b/>
              </w:rPr>
            </w:pPr>
            <w:r w:rsidRPr="000F4E94">
              <w:rPr>
                <w:b/>
              </w:rPr>
              <w:t>2</w:t>
            </w:r>
            <w:r w:rsidR="007C4428">
              <w:rPr>
                <w:b/>
              </w:rPr>
              <w:t>3988</w:t>
            </w:r>
            <w:r>
              <w:rPr>
                <w:b/>
              </w:rPr>
              <w:t xml:space="preserve"> (</w:t>
            </w:r>
            <w:r w:rsidR="004C424F">
              <w:rPr>
                <w:b/>
              </w:rPr>
              <w:t>63.8</w:t>
            </w:r>
            <w:r w:rsidR="00F471DF" w:rsidRPr="00F471DF">
              <w:rPr>
                <w:b/>
              </w:rPr>
              <w:t>%</w:t>
            </w:r>
            <w:r w:rsidR="00F471DF">
              <w:rPr>
                <w:b/>
              </w:rPr>
              <w:t>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1013B8" w:rsidRDefault="000F4E94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1013B8" w:rsidRDefault="000F4E94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1013B8" w:rsidRDefault="000F4E94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1013B8" w:rsidRDefault="000F4E94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1013B8" w:rsidRDefault="000F4E94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74D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B3574D" w:rsidRDefault="00B37122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Sep </w:t>
            </w:r>
            <w:r w:rsidR="00B23587">
              <w:rPr>
                <w:b/>
                <w:i/>
                <w:iCs/>
              </w:rPr>
              <w:t>1</w:t>
            </w:r>
          </w:p>
          <w:p w:rsidR="00B37122" w:rsidRDefault="00B37122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2017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B3574D" w:rsidRDefault="00B3574D" w:rsidP="00B3574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B3574D" w:rsidRDefault="00B3574D" w:rsidP="00B35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B3574D" w:rsidRDefault="00B3574D" w:rsidP="00B35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B3574D" w:rsidRDefault="00B3574D" w:rsidP="001013B8">
            <w:pPr>
              <w:jc w:val="center"/>
              <w:rPr>
                <w:b/>
              </w:rPr>
            </w:pPr>
            <w:r>
              <w:rPr>
                <w:b/>
              </w:rPr>
              <w:t>12133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B3574D" w:rsidRDefault="00B3574D" w:rsidP="001013B8">
            <w:pPr>
              <w:rPr>
                <w:b/>
              </w:rPr>
            </w:pPr>
            <w:r>
              <w:rPr>
                <w:b/>
              </w:rPr>
              <w:t>12101</w:t>
            </w:r>
          </w:p>
          <w:p w:rsidR="00687A8C" w:rsidRDefault="00687A8C" w:rsidP="001013B8">
            <w:pPr>
              <w:rPr>
                <w:b/>
              </w:rPr>
            </w:pPr>
            <w:r>
              <w:rPr>
                <w:b/>
              </w:rPr>
              <w:t>(99.7%)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B3574D" w:rsidRPr="00741545" w:rsidRDefault="00F95714" w:rsidP="000E6AE8">
            <w:pPr>
              <w:jc w:val="center"/>
              <w:rPr>
                <w:b/>
              </w:rPr>
            </w:pPr>
            <w:r>
              <w:rPr>
                <w:b/>
              </w:rPr>
              <w:t>6271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B3574D" w:rsidRDefault="00F95714" w:rsidP="007C4428">
            <w:pPr>
              <w:jc w:val="center"/>
              <w:rPr>
                <w:b/>
              </w:rPr>
            </w:pPr>
            <w:r>
              <w:rPr>
                <w:b/>
              </w:rPr>
              <w:t>3525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B3574D" w:rsidRPr="00087E36" w:rsidRDefault="00F95714" w:rsidP="001013B8">
            <w:pPr>
              <w:jc w:val="center"/>
              <w:rPr>
                <w:rStyle w:val="CommentReference"/>
                <w:b/>
                <w:sz w:val="24"/>
                <w:szCs w:val="24"/>
              </w:rPr>
            </w:pPr>
            <w:r>
              <w:rPr>
                <w:rStyle w:val="CommentReference"/>
                <w:b/>
                <w:sz w:val="24"/>
                <w:szCs w:val="24"/>
              </w:rPr>
              <w:t>4181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B3574D" w:rsidRDefault="00F95714" w:rsidP="004C424F">
            <w:pPr>
              <w:jc w:val="center"/>
              <w:rPr>
                <w:b/>
              </w:rPr>
            </w:pPr>
            <w:r>
              <w:rPr>
                <w:b/>
              </w:rPr>
              <w:t>26987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B3574D" w:rsidRDefault="00F95714" w:rsidP="000E6AE8">
            <w:pPr>
              <w:jc w:val="center"/>
              <w:rPr>
                <w:b/>
              </w:rPr>
            </w:pPr>
            <w:r>
              <w:rPr>
                <w:b/>
              </w:rPr>
              <w:t>29876</w:t>
            </w:r>
          </w:p>
          <w:p w:rsidR="00687A8C" w:rsidRPr="000F4E94" w:rsidRDefault="00D80BCB" w:rsidP="000E6AE8">
            <w:pPr>
              <w:jc w:val="center"/>
              <w:rPr>
                <w:b/>
              </w:rPr>
            </w:pPr>
            <w:r>
              <w:rPr>
                <w:b/>
              </w:rPr>
              <w:t>(82.6</w:t>
            </w:r>
            <w:r w:rsidR="00687A8C">
              <w:rPr>
                <w:b/>
              </w:rPr>
              <w:t>%)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B3574D" w:rsidRDefault="00A873F7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B3574D" w:rsidRDefault="00A873F7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B3574D" w:rsidRDefault="00A873F7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B3574D" w:rsidRDefault="00A873F7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B3574D" w:rsidRDefault="0010401C" w:rsidP="001013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95A8D" w:rsidTr="001013B8">
        <w:trPr>
          <w:cantSplit/>
          <w:trHeight w:val="575"/>
          <w:jc w:val="center"/>
        </w:trPr>
        <w:tc>
          <w:tcPr>
            <w:tcW w:w="1166" w:type="dxa"/>
            <w:shd w:val="clear" w:color="auto" w:fill="CCFFFF"/>
            <w:vAlign w:val="center"/>
          </w:tcPr>
          <w:p w:rsidR="00295A8D" w:rsidRDefault="00295A8D" w:rsidP="001013B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Dec 1 2017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295A8D" w:rsidRDefault="00295A8D" w:rsidP="00B3574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295A8D" w:rsidRDefault="00295A8D" w:rsidP="00B35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295A8D" w:rsidRDefault="00295A8D" w:rsidP="00B357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CECFF"/>
            <w:vAlign w:val="center"/>
          </w:tcPr>
          <w:p w:rsidR="00295A8D" w:rsidRDefault="00295A8D" w:rsidP="001013B8">
            <w:pPr>
              <w:jc w:val="center"/>
              <w:rPr>
                <w:b/>
              </w:rPr>
            </w:pPr>
            <w:r>
              <w:rPr>
                <w:b/>
              </w:rPr>
              <w:t>12010</w:t>
            </w:r>
          </w:p>
        </w:tc>
        <w:tc>
          <w:tcPr>
            <w:tcW w:w="1165" w:type="dxa"/>
            <w:shd w:val="clear" w:color="auto" w:fill="CCECFF"/>
            <w:vAlign w:val="center"/>
          </w:tcPr>
          <w:p w:rsidR="00295A8D" w:rsidRDefault="00295A8D" w:rsidP="001013B8">
            <w:pPr>
              <w:rPr>
                <w:b/>
              </w:rPr>
            </w:pPr>
            <w:r>
              <w:rPr>
                <w:b/>
              </w:rPr>
              <w:t>11978 (99.7)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295A8D" w:rsidRDefault="00A146D7" w:rsidP="000E6AE8">
            <w:pPr>
              <w:jc w:val="center"/>
              <w:rPr>
                <w:b/>
              </w:rPr>
            </w:pPr>
            <w:r>
              <w:rPr>
                <w:b/>
              </w:rPr>
              <w:t>5518</w:t>
            </w:r>
          </w:p>
        </w:tc>
        <w:tc>
          <w:tcPr>
            <w:tcW w:w="1165" w:type="dxa"/>
            <w:shd w:val="clear" w:color="auto" w:fill="CCFFCC"/>
            <w:vAlign w:val="center"/>
          </w:tcPr>
          <w:p w:rsidR="00295A8D" w:rsidRDefault="00A146D7" w:rsidP="007C4428">
            <w:pPr>
              <w:jc w:val="center"/>
              <w:rPr>
                <w:b/>
              </w:rPr>
            </w:pPr>
            <w:r>
              <w:rPr>
                <w:b/>
              </w:rPr>
              <w:t>3888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295A8D" w:rsidRDefault="00A146D7" w:rsidP="001013B8">
            <w:pPr>
              <w:jc w:val="center"/>
              <w:rPr>
                <w:rStyle w:val="CommentReference"/>
                <w:b/>
                <w:sz w:val="24"/>
                <w:szCs w:val="24"/>
              </w:rPr>
            </w:pPr>
            <w:r>
              <w:rPr>
                <w:rStyle w:val="CommentReference"/>
                <w:b/>
                <w:sz w:val="24"/>
                <w:szCs w:val="24"/>
              </w:rPr>
              <w:t>4117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295A8D" w:rsidRDefault="008C0073" w:rsidP="004C424F">
            <w:pPr>
              <w:jc w:val="center"/>
              <w:rPr>
                <w:b/>
              </w:rPr>
            </w:pPr>
            <w:r>
              <w:rPr>
                <w:b/>
              </w:rPr>
              <w:t>33240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295A8D" w:rsidRDefault="009F3AD5" w:rsidP="000E6AE8">
            <w:pPr>
              <w:jc w:val="center"/>
              <w:rPr>
                <w:b/>
              </w:rPr>
            </w:pPr>
            <w:r>
              <w:rPr>
                <w:b/>
              </w:rPr>
              <w:t>33,446 (</w:t>
            </w:r>
            <w:r w:rsidR="00DB630C">
              <w:rPr>
                <w:b/>
              </w:rPr>
              <w:t>86.4</w:t>
            </w:r>
            <w:r w:rsidR="007A77CA">
              <w:rPr>
                <w:b/>
              </w:rPr>
              <w:t>%</w:t>
            </w:r>
            <w:r w:rsidR="00CF0538">
              <w:rPr>
                <w:b/>
              </w:rPr>
              <w:t>)</w:t>
            </w:r>
          </w:p>
        </w:tc>
        <w:tc>
          <w:tcPr>
            <w:tcW w:w="1033" w:type="dxa"/>
            <w:shd w:val="clear" w:color="auto" w:fill="FFFFCC"/>
            <w:vAlign w:val="center"/>
          </w:tcPr>
          <w:p w:rsidR="00295A8D" w:rsidRDefault="00295A8D" w:rsidP="00FC7B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8" w:type="dxa"/>
            <w:shd w:val="clear" w:color="auto" w:fill="FFFFCC"/>
            <w:vAlign w:val="center"/>
          </w:tcPr>
          <w:p w:rsidR="00295A8D" w:rsidRDefault="00295A8D" w:rsidP="00FC7B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9" w:type="dxa"/>
            <w:shd w:val="clear" w:color="auto" w:fill="FFFFCC"/>
            <w:vAlign w:val="center"/>
          </w:tcPr>
          <w:p w:rsidR="00295A8D" w:rsidRDefault="00295A8D" w:rsidP="00FC7B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0" w:type="dxa"/>
            <w:shd w:val="clear" w:color="auto" w:fill="FFFFCC"/>
            <w:vAlign w:val="center"/>
          </w:tcPr>
          <w:p w:rsidR="00295A8D" w:rsidRDefault="00295A8D" w:rsidP="00FC7B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shd w:val="clear" w:color="auto" w:fill="FFFFCC"/>
            <w:vAlign w:val="center"/>
          </w:tcPr>
          <w:p w:rsidR="00295A8D" w:rsidRDefault="00295A8D" w:rsidP="00FC7B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141CD" w:rsidRDefault="00E141CD" w:rsidP="00D83F2F"/>
    <w:p w:rsidR="00E141CD" w:rsidRDefault="00E141CD" w:rsidP="00D83F2F"/>
    <w:p w:rsidR="00E141CD" w:rsidRDefault="00E141CD" w:rsidP="00D83F2F"/>
    <w:p w:rsidR="005078CD" w:rsidRDefault="005078CD" w:rsidP="00D83F2F"/>
    <w:p w:rsidR="005078CD" w:rsidRDefault="005078CD" w:rsidP="00D83F2F"/>
    <w:p w:rsidR="005078CD" w:rsidRDefault="005078CD" w:rsidP="00D83F2F"/>
    <w:p w:rsidR="005078CD" w:rsidRDefault="005078CD" w:rsidP="00D83F2F"/>
    <w:p w:rsidR="005078CD" w:rsidRDefault="005078CD" w:rsidP="00D83F2F"/>
    <w:p w:rsidR="005078CD" w:rsidRDefault="005078CD" w:rsidP="00D83F2F"/>
    <w:p w:rsidR="005078CD" w:rsidRDefault="005078CD" w:rsidP="00D83F2F"/>
    <w:p w:rsidR="005078CD" w:rsidRDefault="005078CD" w:rsidP="00D83F2F"/>
    <w:p w:rsidR="005078CD" w:rsidRDefault="005078CD" w:rsidP="00D83F2F"/>
    <w:p w:rsidR="005078CD" w:rsidRDefault="005078CD" w:rsidP="00D83F2F"/>
    <w:p w:rsidR="008056B9" w:rsidRDefault="008056B9" w:rsidP="00D83F2F"/>
    <w:p w:rsidR="008056B9" w:rsidRDefault="008056B9" w:rsidP="00D83F2F"/>
    <w:p w:rsidR="008056B9" w:rsidRDefault="008056B9" w:rsidP="00D83F2F"/>
    <w:p w:rsidR="008056B9" w:rsidRDefault="008056B9" w:rsidP="00D83F2F"/>
    <w:p w:rsidR="008056B9" w:rsidRDefault="008056B9" w:rsidP="00D83F2F"/>
    <w:p w:rsidR="008056B9" w:rsidRDefault="008056B9" w:rsidP="00D83F2F"/>
    <w:p w:rsidR="008056B9" w:rsidRDefault="008056B9" w:rsidP="00D83F2F"/>
    <w:p w:rsidR="00E141CD" w:rsidRDefault="00E141CD" w:rsidP="00D83F2F"/>
    <w:p w:rsidR="005F6406" w:rsidRDefault="005F6406" w:rsidP="00D83F2F"/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741"/>
        <w:gridCol w:w="4693"/>
      </w:tblGrid>
      <w:tr w:rsidR="00D83F2F" w:rsidTr="006B1FBA">
        <w:trPr>
          <w:trHeight w:val="26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D83F2F" w:rsidRDefault="00D83F2F" w:rsidP="006B1FBA">
            <w:pPr>
              <w:ind w:right="-720"/>
              <w:jc w:val="center"/>
            </w:pPr>
            <w:r w:rsidRPr="006B1FBA">
              <w:rPr>
                <w:b/>
                <w:bCs/>
              </w:rPr>
              <w:lastRenderedPageBreak/>
              <w:t>Implementation Plan Summary</w:t>
            </w:r>
            <w:r w:rsidR="00182ADF" w:rsidRPr="006B1FBA">
              <w:rPr>
                <w:b/>
                <w:bCs/>
              </w:rPr>
              <w:t xml:space="preserve"> – Milestones</w:t>
            </w:r>
          </w:p>
        </w:tc>
      </w:tr>
      <w:tr w:rsidR="00E53FC6" w:rsidTr="006B1FBA">
        <w:trPr>
          <w:trHeight w:val="728"/>
          <w:jc w:val="center"/>
        </w:trPr>
        <w:tc>
          <w:tcPr>
            <w:tcW w:w="896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sz w:val="28"/>
                <w:szCs w:val="28"/>
              </w:rPr>
            </w:pPr>
            <w:r w:rsidRPr="006B1FBA">
              <w:rPr>
                <w:i/>
                <w:iCs/>
                <w:sz w:val="28"/>
                <w:szCs w:val="28"/>
              </w:rPr>
              <w:t>[Planned Date of Full Implementation]</w:t>
            </w:r>
          </w:p>
        </w:tc>
        <w:tc>
          <w:tcPr>
            <w:tcW w:w="2555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B1FBA">
              <w:rPr>
                <w:bCs/>
                <w:i/>
                <w:iCs/>
                <w:sz w:val="28"/>
                <w:szCs w:val="28"/>
              </w:rPr>
              <w:t>Next Major Milestone:</w:t>
            </w:r>
          </w:p>
        </w:tc>
        <w:tc>
          <w:tcPr>
            <w:tcW w:w="1549" w:type="pct"/>
            <w:shd w:val="clear" w:color="auto" w:fill="E0E0E0"/>
            <w:vAlign w:val="center"/>
          </w:tcPr>
          <w:p w:rsidR="00E53FC6" w:rsidRPr="006B1FBA" w:rsidRDefault="00E53FC6" w:rsidP="006B1FBA">
            <w:pPr>
              <w:jc w:val="center"/>
              <w:rPr>
                <w:sz w:val="28"/>
                <w:szCs w:val="28"/>
              </w:rPr>
            </w:pPr>
            <w:r w:rsidRPr="006B1FBA">
              <w:rPr>
                <w:sz w:val="28"/>
                <w:szCs w:val="28"/>
              </w:rPr>
              <w:t>Comments</w:t>
            </w:r>
          </w:p>
        </w:tc>
      </w:tr>
      <w:tr w:rsidR="00E53FC6" w:rsidTr="006B1FBA">
        <w:trPr>
          <w:trHeight w:val="576"/>
          <w:jc w:val="center"/>
        </w:trPr>
        <w:tc>
          <w:tcPr>
            <w:tcW w:w="896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03/01/2009</w:t>
            </w:r>
          </w:p>
        </w:tc>
        <w:tc>
          <w:tcPr>
            <w:tcW w:w="2555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b/>
                <w:bCs/>
                <w:i/>
                <w:iCs/>
              </w:rPr>
            </w:pPr>
            <w:r w:rsidRPr="006B1FBA">
              <w:rPr>
                <w:b/>
                <w:bCs/>
                <w:i/>
                <w:iCs/>
              </w:rPr>
              <w:t>100% Adjudication or verification of background investigations for all Employees and Contractors</w:t>
            </w:r>
          </w:p>
        </w:tc>
        <w:tc>
          <w:tcPr>
            <w:tcW w:w="1549" w:type="pct"/>
            <w:shd w:val="clear" w:color="auto" w:fill="E0E0E0"/>
            <w:vAlign w:val="center"/>
          </w:tcPr>
          <w:p w:rsidR="00E53FC6" w:rsidRPr="00730F41" w:rsidRDefault="00730F41" w:rsidP="006B1FBA">
            <w:pPr>
              <w:jc w:val="center"/>
            </w:pPr>
            <w:r>
              <w:t>GSA has vetted over 99% of its employees and all qualifying contractors</w:t>
            </w:r>
          </w:p>
        </w:tc>
      </w:tr>
      <w:tr w:rsidR="00E53FC6" w:rsidTr="006B1FBA">
        <w:trPr>
          <w:trHeight w:val="576"/>
          <w:jc w:val="center"/>
        </w:trPr>
        <w:tc>
          <w:tcPr>
            <w:tcW w:w="896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06/30/2009</w:t>
            </w:r>
          </w:p>
        </w:tc>
        <w:tc>
          <w:tcPr>
            <w:tcW w:w="2555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b/>
                <w:bCs/>
                <w:i/>
                <w:iCs/>
              </w:rPr>
            </w:pPr>
            <w:r w:rsidRPr="006B1FBA">
              <w:rPr>
                <w:b/>
                <w:bCs/>
                <w:i/>
                <w:iCs/>
              </w:rPr>
              <w:t>100% of total GSA population (employees and contractors) will have received PIV credentials</w:t>
            </w:r>
          </w:p>
        </w:tc>
        <w:tc>
          <w:tcPr>
            <w:tcW w:w="1549" w:type="pct"/>
            <w:shd w:val="clear" w:color="auto" w:fill="E0E0E0"/>
            <w:vAlign w:val="center"/>
          </w:tcPr>
          <w:p w:rsidR="00E53FC6" w:rsidRPr="006B1FBA" w:rsidRDefault="004F3FE6" w:rsidP="006B1FBA">
            <w:pPr>
              <w:jc w:val="center"/>
              <w:rPr>
                <w:b/>
              </w:rPr>
            </w:pPr>
            <w:r>
              <w:t>GSA has issued PIV credentials to over 99% of its employees and continues to issue PIV credentials to all qualifying contractors</w:t>
            </w:r>
          </w:p>
        </w:tc>
      </w:tr>
      <w:tr w:rsidR="00E53FC6" w:rsidTr="006B1FBA">
        <w:trPr>
          <w:trHeight w:val="576"/>
          <w:jc w:val="center"/>
        </w:trPr>
        <w:tc>
          <w:tcPr>
            <w:tcW w:w="896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08/01/2009</w:t>
            </w:r>
          </w:p>
        </w:tc>
        <w:tc>
          <w:tcPr>
            <w:tcW w:w="2555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b/>
                <w:bCs/>
                <w:i/>
                <w:iCs/>
              </w:rPr>
            </w:pPr>
            <w:r w:rsidRPr="006B1FBA">
              <w:rPr>
                <w:b/>
                <w:bCs/>
                <w:i/>
                <w:iCs/>
              </w:rPr>
              <w:t xml:space="preserve">Issuance of PIV credentials to </w:t>
            </w:r>
            <w:r w:rsidRPr="006B1FBA">
              <w:rPr>
                <w:b/>
                <w:bCs/>
                <w:i/>
                <w:iCs/>
                <w:u w:val="single"/>
              </w:rPr>
              <w:t>all</w:t>
            </w:r>
            <w:r w:rsidRPr="006B1FBA">
              <w:rPr>
                <w:b/>
                <w:bCs/>
                <w:i/>
                <w:iCs/>
              </w:rPr>
              <w:t xml:space="preserve"> new employees and for qualifying contractors as part of the on boarding process</w:t>
            </w:r>
          </w:p>
        </w:tc>
        <w:tc>
          <w:tcPr>
            <w:tcW w:w="1549" w:type="pct"/>
            <w:shd w:val="clear" w:color="auto" w:fill="E0E0E0"/>
            <w:vAlign w:val="center"/>
          </w:tcPr>
          <w:p w:rsidR="00E53FC6" w:rsidRPr="00730F41" w:rsidRDefault="00E53FC6" w:rsidP="006B1FBA">
            <w:pPr>
              <w:jc w:val="center"/>
            </w:pPr>
            <w:r w:rsidRPr="00730F41">
              <w:t>GSA’s current on-boarding processes incorporate issuance of PIV credentials</w:t>
            </w:r>
            <w:r w:rsidR="00730F41" w:rsidRPr="00730F41">
              <w:t xml:space="preserve"> to all employees and </w:t>
            </w:r>
            <w:r w:rsidR="00730F41">
              <w:t>qualifying</w:t>
            </w:r>
            <w:r w:rsidR="00730F41" w:rsidRPr="00730F41">
              <w:t xml:space="preserve"> contractors</w:t>
            </w:r>
          </w:p>
        </w:tc>
      </w:tr>
      <w:tr w:rsidR="00E53FC6" w:rsidTr="006B1FBA">
        <w:trPr>
          <w:trHeight w:val="576"/>
          <w:jc w:val="center"/>
        </w:trPr>
        <w:tc>
          <w:tcPr>
            <w:tcW w:w="896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12/31/2010</w:t>
            </w:r>
          </w:p>
        </w:tc>
        <w:tc>
          <w:tcPr>
            <w:tcW w:w="2555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b/>
                <w:bCs/>
                <w:i/>
                <w:iCs/>
              </w:rPr>
            </w:pPr>
            <w:r w:rsidRPr="006B1FBA">
              <w:rPr>
                <w:b/>
                <w:bCs/>
                <w:i/>
                <w:iCs/>
              </w:rPr>
              <w:t>Integration of PIV credentials with logical access systems</w:t>
            </w:r>
          </w:p>
          <w:p w:rsidR="00E53FC6" w:rsidRPr="006B1FBA" w:rsidRDefault="00E53FC6" w:rsidP="006B1FB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9" w:type="pct"/>
            <w:shd w:val="clear" w:color="auto" w:fill="E0E0E0"/>
            <w:vAlign w:val="center"/>
          </w:tcPr>
          <w:p w:rsidR="00E53FC6" w:rsidRPr="00CF5F05" w:rsidRDefault="00CF5F05" w:rsidP="00422D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GSA has </w:t>
            </w:r>
            <w:r w:rsidR="00A22268">
              <w:rPr>
                <w:bCs/>
                <w:iCs/>
              </w:rPr>
              <w:t>99.8%</w:t>
            </w:r>
            <w:r>
              <w:rPr>
                <w:bCs/>
                <w:iCs/>
              </w:rPr>
              <w:t xml:space="preserve"> of its employee and contract personnel using PIV credentials for workstation log-on. Currently</w:t>
            </w:r>
            <w:r w:rsidR="00422D01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integration </w:t>
            </w:r>
            <w:r w:rsidR="00422D01">
              <w:rPr>
                <w:bCs/>
                <w:iCs/>
              </w:rPr>
              <w:t xml:space="preserve">of PIV </w:t>
            </w:r>
            <w:r>
              <w:rPr>
                <w:bCs/>
                <w:iCs/>
              </w:rPr>
              <w:t>credential logical access across all GSA software and systems</w:t>
            </w:r>
            <w:r w:rsidR="00422D01">
              <w:rPr>
                <w:bCs/>
                <w:iCs/>
              </w:rPr>
              <w:t xml:space="preserve"> is in process</w:t>
            </w:r>
            <w:r>
              <w:rPr>
                <w:bCs/>
                <w:iCs/>
              </w:rPr>
              <w:t>.</w:t>
            </w:r>
          </w:p>
        </w:tc>
      </w:tr>
      <w:tr w:rsidR="00E53FC6" w:rsidTr="006B1FBA">
        <w:trPr>
          <w:trHeight w:val="576"/>
          <w:jc w:val="center"/>
        </w:trPr>
        <w:tc>
          <w:tcPr>
            <w:tcW w:w="896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b/>
                <w:i/>
                <w:iCs/>
              </w:rPr>
            </w:pPr>
            <w:r w:rsidRPr="006B1FBA">
              <w:rPr>
                <w:b/>
                <w:i/>
                <w:iCs/>
              </w:rPr>
              <w:t>12/31/201</w:t>
            </w:r>
            <w:r w:rsidR="005D1037">
              <w:rPr>
                <w:b/>
                <w:i/>
                <w:iCs/>
              </w:rPr>
              <w:t>4</w:t>
            </w:r>
          </w:p>
        </w:tc>
        <w:tc>
          <w:tcPr>
            <w:tcW w:w="2555" w:type="pct"/>
            <w:shd w:val="clear" w:color="auto" w:fill="CCECFF"/>
            <w:vAlign w:val="center"/>
          </w:tcPr>
          <w:p w:rsidR="00E53FC6" w:rsidRPr="006B1FBA" w:rsidRDefault="00E53FC6" w:rsidP="006B1FBA">
            <w:pPr>
              <w:jc w:val="center"/>
              <w:rPr>
                <w:b/>
                <w:bCs/>
                <w:i/>
                <w:iCs/>
              </w:rPr>
            </w:pPr>
            <w:r w:rsidRPr="006B1FBA">
              <w:rPr>
                <w:b/>
                <w:bCs/>
                <w:i/>
                <w:iCs/>
              </w:rPr>
              <w:t>Integration of PIV credentials with physical access systems</w:t>
            </w:r>
          </w:p>
        </w:tc>
        <w:tc>
          <w:tcPr>
            <w:tcW w:w="1549" w:type="pct"/>
            <w:shd w:val="clear" w:color="auto" w:fill="E0E0E0"/>
            <w:vAlign w:val="center"/>
          </w:tcPr>
          <w:p w:rsidR="00E53FC6" w:rsidRPr="006B1FBA" w:rsidRDefault="00B2095E" w:rsidP="006B1F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GSA has selected and installed an HSPD-12 PACS capable of PIV-based authentication and is currently finalizing a strategy for Regional deployment.</w:t>
            </w:r>
          </w:p>
        </w:tc>
      </w:tr>
    </w:tbl>
    <w:p w:rsidR="00E53FC6" w:rsidRDefault="00E53FC6" w:rsidP="00D83F2F">
      <w:pPr>
        <w:jc w:val="center"/>
      </w:pPr>
    </w:p>
    <w:p w:rsidR="00D83F2F" w:rsidRDefault="00D83F2F" w:rsidP="00D83F2F">
      <w:pPr>
        <w:jc w:val="center"/>
        <w:rPr>
          <w:rFonts w:ascii="Arial" w:hAnsi="Arial" w:cs="Arial"/>
          <w:b/>
        </w:rPr>
      </w:pPr>
      <w:r>
        <w:br w:type="page"/>
      </w:r>
      <w:r w:rsidRPr="00354B6B">
        <w:rPr>
          <w:rFonts w:ascii="Arial" w:hAnsi="Arial" w:cs="Arial"/>
          <w:b/>
        </w:rPr>
        <w:lastRenderedPageBreak/>
        <w:t xml:space="preserve"> </w:t>
      </w:r>
      <w:r>
        <w:rPr>
          <w:rFonts w:ascii="Arial" w:hAnsi="Arial" w:cs="Arial"/>
          <w:b/>
        </w:rPr>
        <w:t xml:space="preserve">GSA </w:t>
      </w:r>
      <w:r w:rsidRPr="00354B6B">
        <w:rPr>
          <w:rFonts w:ascii="Arial" w:hAnsi="Arial" w:cs="Arial"/>
          <w:b/>
        </w:rPr>
        <w:t>Homeland Security Presidential Directive (HSPD)</w:t>
      </w:r>
      <w:r w:rsidR="00E4206E">
        <w:rPr>
          <w:rFonts w:ascii="Arial" w:hAnsi="Arial" w:cs="Arial"/>
          <w:b/>
        </w:rPr>
        <w:t xml:space="preserve"> </w:t>
      </w:r>
      <w:r w:rsidRPr="00354B6B">
        <w:rPr>
          <w:rFonts w:ascii="Arial" w:hAnsi="Arial" w:cs="Arial"/>
          <w:b/>
        </w:rPr>
        <w:t>-</w:t>
      </w:r>
      <w:r w:rsidR="00E4206E">
        <w:rPr>
          <w:rFonts w:ascii="Arial" w:hAnsi="Arial" w:cs="Arial"/>
          <w:b/>
        </w:rPr>
        <w:t xml:space="preserve"> </w:t>
      </w:r>
      <w:r w:rsidRPr="00354B6B">
        <w:rPr>
          <w:rFonts w:ascii="Arial" w:hAnsi="Arial" w:cs="Arial"/>
          <w:b/>
        </w:rPr>
        <w:t>12</w:t>
      </w:r>
    </w:p>
    <w:p w:rsidR="00D83F2F" w:rsidRPr="00354B6B" w:rsidRDefault="00D83F2F" w:rsidP="00D83F2F">
      <w:pPr>
        <w:jc w:val="center"/>
        <w:rPr>
          <w:rFonts w:ascii="Arial" w:hAnsi="Arial" w:cs="Arial"/>
          <w:b/>
        </w:rPr>
      </w:pPr>
      <w:r w:rsidRPr="00354B6B">
        <w:rPr>
          <w:rFonts w:ascii="Arial" w:hAnsi="Arial" w:cs="Arial"/>
          <w:b/>
        </w:rPr>
        <w:t xml:space="preserve">Implementation </w:t>
      </w:r>
      <w:r>
        <w:rPr>
          <w:rFonts w:ascii="Arial" w:hAnsi="Arial" w:cs="Arial"/>
          <w:b/>
        </w:rPr>
        <w:t>Status Report</w:t>
      </w:r>
    </w:p>
    <w:p w:rsidR="00D83F2F" w:rsidRPr="00BC55D2" w:rsidRDefault="00D83F2F" w:rsidP="00D83F2F">
      <w:pPr>
        <w:tabs>
          <w:tab w:val="left" w:pos="450"/>
        </w:tabs>
        <w:ind w:right="90"/>
        <w:rPr>
          <w:b/>
          <w:bCs/>
          <w:sz w:val="20"/>
          <w:szCs w:val="20"/>
        </w:rPr>
      </w:pPr>
    </w:p>
    <w:p w:rsidR="00D83F2F" w:rsidRPr="001F16B8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bCs/>
          <w:sz w:val="20"/>
          <w:szCs w:val="20"/>
        </w:rPr>
      </w:pPr>
      <w:r w:rsidRPr="001F16B8">
        <w:rPr>
          <w:b/>
          <w:bCs/>
          <w:sz w:val="20"/>
          <w:szCs w:val="20"/>
        </w:rPr>
        <w:t>Updated Date</w:t>
      </w:r>
      <w:r>
        <w:rPr>
          <w:b/>
          <w:bCs/>
          <w:sz w:val="20"/>
          <w:szCs w:val="20"/>
        </w:rPr>
        <w:t>:</w:t>
      </w:r>
      <w:r w:rsidRPr="00981F7C">
        <w:rPr>
          <w:sz w:val="20"/>
          <w:szCs w:val="20"/>
        </w:rPr>
        <w:t xml:space="preserve"> (representing day-1 of the 3</w:t>
      </w:r>
      <w:r w:rsidRPr="00981F7C">
        <w:rPr>
          <w:sz w:val="20"/>
          <w:szCs w:val="20"/>
          <w:vertAlign w:val="superscript"/>
        </w:rPr>
        <w:t>rd</w:t>
      </w:r>
      <w:r w:rsidRPr="00981F7C">
        <w:rPr>
          <w:sz w:val="20"/>
          <w:szCs w:val="20"/>
        </w:rPr>
        <w:t xml:space="preserve"> month of each fiscal quarter, u</w:t>
      </w:r>
      <w:r w:rsidRPr="00981F7C">
        <w:rPr>
          <w:sz w:val="20"/>
        </w:rPr>
        <w:t>pdates should be published on a publicly accessible website by the end of each quarter</w:t>
      </w:r>
      <w:r w:rsidRPr="00981F7C">
        <w:rPr>
          <w:sz w:val="20"/>
          <w:szCs w:val="20"/>
        </w:rPr>
        <w:t>)</w:t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</w:tabs>
        <w:ind w:left="720" w:right="90"/>
        <w:rPr>
          <w:sz w:val="20"/>
        </w:rPr>
      </w:pPr>
      <w:r w:rsidRPr="00EB1D5D">
        <w:rPr>
          <w:sz w:val="20"/>
        </w:rPr>
        <w:t>Each pub</w:t>
      </w:r>
      <w:r>
        <w:rPr>
          <w:sz w:val="20"/>
        </w:rPr>
        <w:t>lic update should represent agency status as of the indicated date</w:t>
      </w:r>
      <w:r w:rsidRPr="00EB1D5D">
        <w:rPr>
          <w:sz w:val="20"/>
        </w:rPr>
        <w:t>.  This report should contain all historical updates thru full implementation.</w:t>
      </w:r>
      <w:r>
        <w:rPr>
          <w:sz w:val="20"/>
        </w:rPr>
        <w:t xml:space="preserve"> </w:t>
      </w: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>
        <w:rPr>
          <w:b/>
          <w:sz w:val="20"/>
        </w:rPr>
        <w:t xml:space="preserve">Planned Date of Full Implementation: </w:t>
      </w:r>
      <w:r w:rsidRPr="00EB1D5D">
        <w:rPr>
          <w:b/>
          <w:sz w:val="20"/>
        </w:rPr>
        <w:t xml:space="preserve"> </w:t>
      </w:r>
    </w:p>
    <w:p w:rsidR="00D83F2F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</w:tabs>
        <w:ind w:left="720" w:right="90"/>
        <w:rPr>
          <w:sz w:val="20"/>
        </w:rPr>
      </w:pPr>
      <w:r>
        <w:rPr>
          <w:sz w:val="20"/>
        </w:rPr>
        <w:t>This is your agency's date for full compliance as indicated in your agency/OMB mutually agreed-upon implementation plan.</w:t>
      </w:r>
    </w:p>
    <w:p w:rsidR="001C7B8C" w:rsidRPr="001C7B8C" w:rsidRDefault="001C7B8C" w:rsidP="001C7B8C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bCs/>
          <w:sz w:val="20"/>
          <w:szCs w:val="20"/>
        </w:rPr>
      </w:pPr>
      <w:r w:rsidRPr="001C7B8C">
        <w:rPr>
          <w:b/>
          <w:bCs/>
          <w:sz w:val="20"/>
          <w:szCs w:val="20"/>
        </w:rPr>
        <w:t xml:space="preserve">Planned Total Number of NACIs (or at least equivalent) to be verified or completed and adjudicated for current :  </w:t>
      </w:r>
    </w:p>
    <w:p w:rsidR="001C7B8C" w:rsidRDefault="001C7B8C" w:rsidP="001C7B8C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</w:tabs>
        <w:ind w:left="720" w:right="90"/>
        <w:rPr>
          <w:sz w:val="20"/>
        </w:rPr>
      </w:pPr>
      <w:r>
        <w:rPr>
          <w:sz w:val="20"/>
        </w:rPr>
        <w:t>This represents the total number of NACIs (or at least equivalent) planned for completion as of the status date.</w:t>
      </w: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>
        <w:rPr>
          <w:b/>
          <w:sz w:val="20"/>
        </w:rPr>
        <w:t xml:space="preserve">Next major milestone: </w:t>
      </w:r>
      <w:r w:rsidRPr="00EB1D5D">
        <w:rPr>
          <w:b/>
          <w:sz w:val="20"/>
        </w:rPr>
        <w:t xml:space="preserve"> </w:t>
      </w:r>
    </w:p>
    <w:p w:rsidR="00D83F2F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</w:tabs>
        <w:ind w:left="720" w:right="90"/>
        <w:rPr>
          <w:sz w:val="20"/>
        </w:rPr>
      </w:pPr>
      <w:r>
        <w:rPr>
          <w:sz w:val="20"/>
        </w:rPr>
        <w:t>Briefly describe your next major milestone and include the milestone date (e.g. 10/27/2008 - 60% of employees, contractors, and other individuals received credentials).</w:t>
      </w:r>
    </w:p>
    <w:p w:rsidR="00D83F2F" w:rsidRDefault="00D83F2F" w:rsidP="00D83F2F">
      <w:pPr>
        <w:tabs>
          <w:tab w:val="left" w:pos="450"/>
          <w:tab w:val="left" w:pos="720"/>
          <w:tab w:val="num" w:pos="1080"/>
          <w:tab w:val="left" w:pos="10620"/>
        </w:tabs>
        <w:ind w:left="360" w:right="-90"/>
        <w:rPr>
          <w:sz w:val="20"/>
        </w:rPr>
      </w:pP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 xml:space="preserve">Number of Employees requiring PIV </w:t>
      </w:r>
      <w:r>
        <w:rPr>
          <w:b/>
          <w:sz w:val="20"/>
        </w:rPr>
        <w:t>credentials</w:t>
      </w:r>
      <w:r w:rsidRPr="00EB1D5D">
        <w:rPr>
          <w:b/>
          <w:sz w:val="20"/>
        </w:rPr>
        <w:t>*</w:t>
      </w:r>
      <w:r w:rsidRPr="00EB1D5D">
        <w:rPr>
          <w:b/>
          <w:sz w:val="20"/>
        </w:rPr>
        <w:tab/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 w:rsidRPr="00EB1D5D">
        <w:rPr>
          <w:sz w:val="20"/>
        </w:rPr>
        <w:t xml:space="preserve">This represents the </w:t>
      </w:r>
      <w:r>
        <w:rPr>
          <w:sz w:val="20"/>
        </w:rPr>
        <w:t xml:space="preserve">total </w:t>
      </w:r>
      <w:r w:rsidRPr="00EB1D5D">
        <w:rPr>
          <w:sz w:val="20"/>
        </w:rPr>
        <w:t xml:space="preserve">number of Federal employees within </w:t>
      </w:r>
      <w:r>
        <w:rPr>
          <w:sz w:val="20"/>
        </w:rPr>
        <w:t xml:space="preserve">the </w:t>
      </w:r>
      <w:r w:rsidRPr="00EB1D5D">
        <w:rPr>
          <w:sz w:val="20"/>
        </w:rPr>
        <w:t xml:space="preserve">agency </w:t>
      </w:r>
      <w:r>
        <w:rPr>
          <w:sz w:val="20"/>
        </w:rPr>
        <w:t>that require</w:t>
      </w:r>
      <w:r w:rsidRPr="00EB1D5D">
        <w:rPr>
          <w:sz w:val="20"/>
        </w:rPr>
        <w:t xml:space="preserve"> PIV </w:t>
      </w:r>
      <w:r>
        <w:rPr>
          <w:sz w:val="20"/>
        </w:rPr>
        <w:t>credentials but have not yet been issued the credentials</w:t>
      </w: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>Number of Employees requiring a NACI (or at least equivalent) that have not previously undergone a background check*</w:t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 w:rsidRPr="00EB1D5D">
        <w:rPr>
          <w:sz w:val="20"/>
        </w:rPr>
        <w:t>This represents the</w:t>
      </w:r>
      <w:r>
        <w:rPr>
          <w:sz w:val="20"/>
        </w:rPr>
        <w:t xml:space="preserve"> total</w:t>
      </w:r>
      <w:r w:rsidRPr="00EB1D5D">
        <w:rPr>
          <w:sz w:val="20"/>
        </w:rPr>
        <w:t xml:space="preserve"> number of Federal employees that have not previously undergone a background check.</w:t>
      </w:r>
      <w:r w:rsidRPr="00EB1D5D">
        <w:rPr>
          <w:sz w:val="20"/>
        </w:rPr>
        <w:tab/>
      </w: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>Number of Employees requiring a NACI (or at least equivalent) with background investigation in process *</w:t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 w:rsidRPr="00EB1D5D">
        <w:rPr>
          <w:sz w:val="20"/>
        </w:rPr>
        <w:t>This represents the number of Federal employees with background investigation</w:t>
      </w:r>
      <w:r>
        <w:rPr>
          <w:sz w:val="20"/>
        </w:rPr>
        <w:t xml:space="preserve"> currently</w:t>
      </w:r>
      <w:r w:rsidRPr="00EB1D5D">
        <w:rPr>
          <w:sz w:val="20"/>
        </w:rPr>
        <w:t xml:space="preserve"> in process.</w:t>
      </w:r>
      <w:r>
        <w:rPr>
          <w:sz w:val="20"/>
        </w:rPr>
        <w:t xml:space="preserve"> </w:t>
      </w:r>
    </w:p>
    <w:p w:rsidR="00D83F2F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692850">
        <w:rPr>
          <w:b/>
          <w:sz w:val="20"/>
        </w:rPr>
        <w:t>Number of Employees w</w:t>
      </w:r>
      <w:r>
        <w:rPr>
          <w:b/>
          <w:sz w:val="20"/>
        </w:rPr>
        <w:t>ith completed/adjudicated NACI</w:t>
      </w:r>
      <w:r w:rsidRPr="00692850">
        <w:rPr>
          <w:b/>
          <w:sz w:val="20"/>
        </w:rPr>
        <w:t xml:space="preserve"> (or equivalen</w:t>
      </w:r>
      <w:r>
        <w:rPr>
          <w:b/>
          <w:sz w:val="20"/>
        </w:rPr>
        <w:t xml:space="preserve">t background investigation)* </w:t>
      </w:r>
    </w:p>
    <w:p w:rsidR="00D83F2F" w:rsidRPr="00F66A48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>
        <w:rPr>
          <w:sz w:val="20"/>
        </w:rPr>
        <w:t>T</w:t>
      </w:r>
      <w:r w:rsidRPr="00F66A48">
        <w:rPr>
          <w:sz w:val="20"/>
        </w:rPr>
        <w:t xml:space="preserve">his represents the number of Federal employees within </w:t>
      </w:r>
      <w:r>
        <w:rPr>
          <w:sz w:val="20"/>
        </w:rPr>
        <w:t xml:space="preserve">the </w:t>
      </w:r>
      <w:r w:rsidRPr="00F66A48">
        <w:rPr>
          <w:sz w:val="20"/>
        </w:rPr>
        <w:t>agency that require PIV</w:t>
      </w:r>
      <w:r>
        <w:rPr>
          <w:sz w:val="20"/>
        </w:rPr>
        <w:t xml:space="preserve"> credentials with completed/adjudicated NACI </w:t>
      </w:r>
      <w:r w:rsidRPr="00692850">
        <w:rPr>
          <w:sz w:val="20"/>
        </w:rPr>
        <w:t>(or equivalent with background investigation</w:t>
      </w:r>
      <w:r>
        <w:rPr>
          <w:sz w:val="20"/>
        </w:rPr>
        <w:t xml:space="preserve">). </w:t>
      </w: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 xml:space="preserve">Total Number of PIV </w:t>
      </w:r>
      <w:r>
        <w:rPr>
          <w:b/>
          <w:sz w:val="20"/>
        </w:rPr>
        <w:t>credentials</w:t>
      </w:r>
      <w:r w:rsidRPr="00EB1D5D">
        <w:rPr>
          <w:b/>
          <w:sz w:val="20"/>
        </w:rPr>
        <w:t xml:space="preserve"> Issued to Employees*</w:t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 w:rsidRPr="00EB1D5D">
        <w:rPr>
          <w:sz w:val="20"/>
        </w:rPr>
        <w:t>This represents the number of Federal employees with PIV c</w:t>
      </w:r>
      <w:r>
        <w:rPr>
          <w:sz w:val="20"/>
        </w:rPr>
        <w:t>redentials</w:t>
      </w:r>
      <w:r w:rsidRPr="00EB1D5D">
        <w:rPr>
          <w:sz w:val="20"/>
        </w:rPr>
        <w:t xml:space="preserve"> issued.  (This amount plus the “Number of Employees requiring PIV c</w:t>
      </w:r>
      <w:r>
        <w:rPr>
          <w:sz w:val="20"/>
        </w:rPr>
        <w:t>redentials</w:t>
      </w:r>
      <w:r w:rsidRPr="00EB1D5D">
        <w:rPr>
          <w:sz w:val="20"/>
        </w:rPr>
        <w:t>” should represent the agenc</w:t>
      </w:r>
      <w:r>
        <w:rPr>
          <w:sz w:val="20"/>
        </w:rPr>
        <w:t>y's</w:t>
      </w:r>
      <w:r w:rsidRPr="00EB1D5D">
        <w:rPr>
          <w:sz w:val="20"/>
        </w:rPr>
        <w:t xml:space="preserve"> full Federal workforce requiring r</w:t>
      </w:r>
      <w:r>
        <w:rPr>
          <w:sz w:val="20"/>
        </w:rPr>
        <w:t>outine</w:t>
      </w:r>
      <w:r w:rsidRPr="00EB1D5D">
        <w:rPr>
          <w:sz w:val="20"/>
        </w:rPr>
        <w:t xml:space="preserve"> access to Federal facilities</w:t>
      </w:r>
      <w:r>
        <w:rPr>
          <w:sz w:val="20"/>
        </w:rPr>
        <w:t xml:space="preserve"> </w:t>
      </w:r>
      <w:r w:rsidRPr="00421DE7">
        <w:rPr>
          <w:sz w:val="20"/>
        </w:rPr>
        <w:t>and information systems</w:t>
      </w:r>
      <w:r w:rsidRPr="00EB1D5D">
        <w:rPr>
          <w:sz w:val="20"/>
        </w:rPr>
        <w:t>.)</w:t>
      </w:r>
    </w:p>
    <w:p w:rsidR="00D83F2F" w:rsidRPr="00EB1D5D" w:rsidRDefault="00D83F2F" w:rsidP="00D83F2F">
      <w:pPr>
        <w:tabs>
          <w:tab w:val="left" w:pos="450"/>
          <w:tab w:val="left" w:pos="720"/>
          <w:tab w:val="num" w:pos="1080"/>
          <w:tab w:val="left" w:pos="10620"/>
        </w:tabs>
        <w:ind w:left="360" w:right="-90"/>
        <w:rPr>
          <w:sz w:val="20"/>
        </w:rPr>
      </w:pP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 xml:space="preserve">Number of Contractors requiring PIV </w:t>
      </w:r>
      <w:r>
        <w:rPr>
          <w:b/>
          <w:sz w:val="20"/>
        </w:rPr>
        <w:t xml:space="preserve">credentials </w:t>
      </w:r>
      <w:r w:rsidRPr="00EB1D5D">
        <w:rPr>
          <w:b/>
          <w:sz w:val="20"/>
        </w:rPr>
        <w:tab/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 w:rsidRPr="00EB1D5D">
        <w:rPr>
          <w:sz w:val="20"/>
        </w:rPr>
        <w:t xml:space="preserve"> This represents the number of contractors within agency </w:t>
      </w:r>
      <w:r>
        <w:rPr>
          <w:sz w:val="20"/>
        </w:rPr>
        <w:t>that require</w:t>
      </w:r>
      <w:r w:rsidRPr="00EB1D5D">
        <w:rPr>
          <w:sz w:val="20"/>
        </w:rPr>
        <w:t xml:space="preserve"> PIV </w:t>
      </w:r>
      <w:r>
        <w:rPr>
          <w:sz w:val="20"/>
        </w:rPr>
        <w:t xml:space="preserve">credentials </w:t>
      </w:r>
      <w:r w:rsidRPr="007A77CA">
        <w:rPr>
          <w:sz w:val="20"/>
        </w:rPr>
        <w:t>but have not yet been issued the credentials</w:t>
      </w: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>Number of Contractors requiring NACIs (or at least equivalent) that have not previously undergone a background check</w:t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 w:rsidRPr="00EB1D5D">
        <w:rPr>
          <w:sz w:val="20"/>
        </w:rPr>
        <w:t>This represents the</w:t>
      </w:r>
      <w:r>
        <w:rPr>
          <w:sz w:val="20"/>
        </w:rPr>
        <w:t xml:space="preserve"> total</w:t>
      </w:r>
      <w:r w:rsidRPr="00EB1D5D">
        <w:rPr>
          <w:sz w:val="20"/>
        </w:rPr>
        <w:t xml:space="preserve"> number of contractors that have not previously undergone a background check.</w:t>
      </w:r>
      <w:r w:rsidRPr="00EB1D5D">
        <w:rPr>
          <w:sz w:val="20"/>
        </w:rPr>
        <w:tab/>
      </w:r>
      <w:r w:rsidRPr="00EB1D5D">
        <w:rPr>
          <w:sz w:val="20"/>
        </w:rPr>
        <w:tab/>
      </w: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 xml:space="preserve">Number of Contractors requiring a NACI (or at least equivalent) with background investigation in process  </w:t>
      </w:r>
    </w:p>
    <w:p w:rsidR="00D83F2F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 w:rsidRPr="00EB1D5D">
        <w:rPr>
          <w:sz w:val="20"/>
        </w:rPr>
        <w:t>This represents the number of contractors with background investigation</w:t>
      </w:r>
      <w:r>
        <w:rPr>
          <w:sz w:val="20"/>
        </w:rPr>
        <w:t xml:space="preserve"> currently</w:t>
      </w:r>
      <w:r w:rsidRPr="00EB1D5D">
        <w:rPr>
          <w:sz w:val="20"/>
        </w:rPr>
        <w:t xml:space="preserve"> in process.</w:t>
      </w:r>
    </w:p>
    <w:p w:rsidR="00D83F2F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692850">
        <w:rPr>
          <w:b/>
          <w:sz w:val="20"/>
        </w:rPr>
        <w:t xml:space="preserve">Number of </w:t>
      </w:r>
      <w:r>
        <w:rPr>
          <w:b/>
          <w:sz w:val="20"/>
        </w:rPr>
        <w:t>Contractors</w:t>
      </w:r>
      <w:r w:rsidRPr="00692850">
        <w:rPr>
          <w:b/>
          <w:sz w:val="20"/>
        </w:rPr>
        <w:t xml:space="preserve"> w</w:t>
      </w:r>
      <w:r>
        <w:rPr>
          <w:b/>
          <w:sz w:val="20"/>
        </w:rPr>
        <w:t>ith completed/adjudicated NACI</w:t>
      </w:r>
      <w:r w:rsidRPr="00692850">
        <w:rPr>
          <w:b/>
          <w:sz w:val="20"/>
        </w:rPr>
        <w:t xml:space="preserve"> (or equivalen</w:t>
      </w:r>
      <w:r>
        <w:rPr>
          <w:b/>
          <w:sz w:val="20"/>
        </w:rPr>
        <w:t xml:space="preserve">t background investigation)* </w:t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>
        <w:rPr>
          <w:sz w:val="20"/>
        </w:rPr>
        <w:t>T</w:t>
      </w:r>
      <w:r w:rsidRPr="00F66A48">
        <w:rPr>
          <w:sz w:val="20"/>
        </w:rPr>
        <w:t xml:space="preserve">his represents the number of </w:t>
      </w:r>
      <w:r>
        <w:rPr>
          <w:sz w:val="20"/>
        </w:rPr>
        <w:t>Contractors</w:t>
      </w:r>
      <w:r w:rsidRPr="00F66A48">
        <w:rPr>
          <w:sz w:val="20"/>
        </w:rPr>
        <w:t xml:space="preserve"> that require PIV</w:t>
      </w:r>
      <w:r>
        <w:rPr>
          <w:sz w:val="20"/>
        </w:rPr>
        <w:t xml:space="preserve"> credentials with completed/adjudicated NACI </w:t>
      </w:r>
      <w:r w:rsidRPr="00692850">
        <w:rPr>
          <w:sz w:val="20"/>
        </w:rPr>
        <w:t>(or equivalent with background investigation</w:t>
      </w:r>
      <w:r>
        <w:rPr>
          <w:sz w:val="20"/>
        </w:rPr>
        <w:t xml:space="preserve">). </w:t>
      </w: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 xml:space="preserve">Total Number of PIV </w:t>
      </w:r>
      <w:r>
        <w:rPr>
          <w:b/>
          <w:sz w:val="20"/>
        </w:rPr>
        <w:t>credentials</w:t>
      </w:r>
      <w:r w:rsidRPr="00EB1D5D">
        <w:rPr>
          <w:b/>
          <w:sz w:val="20"/>
        </w:rPr>
        <w:t xml:space="preserve"> Issued to Contractors</w:t>
      </w:r>
      <w:r w:rsidRPr="00EB1D5D">
        <w:rPr>
          <w:b/>
          <w:sz w:val="20"/>
        </w:rPr>
        <w:tab/>
      </w:r>
    </w:p>
    <w:p w:rsidR="00D83F2F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 w:rsidRPr="00EB1D5D">
        <w:rPr>
          <w:sz w:val="20"/>
        </w:rPr>
        <w:t xml:space="preserve">This represents the number of contractors with PIV </w:t>
      </w:r>
      <w:r>
        <w:rPr>
          <w:sz w:val="20"/>
        </w:rPr>
        <w:t>credentials</w:t>
      </w:r>
      <w:r w:rsidRPr="00EB1D5D">
        <w:rPr>
          <w:sz w:val="20"/>
        </w:rPr>
        <w:t xml:space="preserve"> issued</w:t>
      </w:r>
    </w:p>
    <w:p w:rsidR="00D83F2F" w:rsidRPr="00EB1D5D" w:rsidRDefault="00D83F2F" w:rsidP="00D83F2F">
      <w:pPr>
        <w:tabs>
          <w:tab w:val="left" w:pos="450"/>
          <w:tab w:val="left" w:pos="720"/>
          <w:tab w:val="num" w:pos="1080"/>
          <w:tab w:val="left" w:pos="10620"/>
        </w:tabs>
        <w:ind w:left="360" w:right="-90"/>
        <w:rPr>
          <w:sz w:val="20"/>
        </w:rPr>
      </w:pPr>
      <w:bookmarkStart w:id="0" w:name="_GoBack"/>
      <w:bookmarkEnd w:id="0"/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 xml:space="preserve">Number of other individuals (e.g. </w:t>
      </w:r>
      <w:r>
        <w:rPr>
          <w:b/>
          <w:sz w:val="20"/>
        </w:rPr>
        <w:t>guest researchers</w:t>
      </w:r>
      <w:r w:rsidRPr="00EB1D5D">
        <w:rPr>
          <w:b/>
          <w:sz w:val="20"/>
        </w:rPr>
        <w:t>) requiring PIV c</w:t>
      </w:r>
      <w:r>
        <w:rPr>
          <w:b/>
          <w:sz w:val="20"/>
        </w:rPr>
        <w:t>redentials</w:t>
      </w:r>
      <w:r w:rsidRPr="00EB1D5D">
        <w:rPr>
          <w:b/>
          <w:sz w:val="20"/>
        </w:rPr>
        <w:tab/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 w:rsidRPr="00EB1D5D">
        <w:rPr>
          <w:sz w:val="20"/>
        </w:rPr>
        <w:t>This represents the number of other individuals within agen</w:t>
      </w:r>
      <w:r>
        <w:rPr>
          <w:sz w:val="20"/>
        </w:rPr>
        <w:t>cy that require PIV credentials but have not yet been issued</w:t>
      </w:r>
      <w:r w:rsidRPr="00EB1D5D">
        <w:rPr>
          <w:sz w:val="20"/>
        </w:rPr>
        <w:t xml:space="preserve"> the </w:t>
      </w:r>
      <w:r>
        <w:rPr>
          <w:sz w:val="20"/>
        </w:rPr>
        <w:t>credentials</w:t>
      </w:r>
      <w:r w:rsidRPr="00EB1D5D">
        <w:rPr>
          <w:sz w:val="20"/>
        </w:rPr>
        <w:t xml:space="preserve">.  </w:t>
      </w: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>Number of ot</w:t>
      </w:r>
      <w:r>
        <w:rPr>
          <w:b/>
          <w:sz w:val="20"/>
        </w:rPr>
        <w:t>her individuals (e.g. guest researchers</w:t>
      </w:r>
      <w:r w:rsidRPr="00EB1D5D">
        <w:rPr>
          <w:b/>
          <w:sz w:val="20"/>
        </w:rPr>
        <w:t>) requiring NACIs (or at least equivalent) that have not previously undergone a background check</w:t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 w:rsidRPr="00EB1D5D">
        <w:rPr>
          <w:sz w:val="20"/>
        </w:rPr>
        <w:t xml:space="preserve">This represents the </w:t>
      </w:r>
      <w:r>
        <w:rPr>
          <w:sz w:val="20"/>
        </w:rPr>
        <w:t xml:space="preserve">total </w:t>
      </w:r>
      <w:r w:rsidRPr="00EB1D5D">
        <w:rPr>
          <w:sz w:val="20"/>
        </w:rPr>
        <w:t>number of other individuals that have not previously undergone a background check.</w:t>
      </w:r>
      <w:r w:rsidRPr="00EB1D5D">
        <w:rPr>
          <w:sz w:val="20"/>
        </w:rPr>
        <w:tab/>
      </w: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 xml:space="preserve">Number of </w:t>
      </w:r>
      <w:r>
        <w:rPr>
          <w:b/>
          <w:sz w:val="20"/>
        </w:rPr>
        <w:t>other individuals</w:t>
      </w:r>
      <w:r w:rsidRPr="00EB1D5D">
        <w:rPr>
          <w:b/>
          <w:sz w:val="20"/>
        </w:rPr>
        <w:t xml:space="preserve"> requiring a NACI (or at least equivalent) with background investigation in process</w:t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 w:rsidRPr="00EB1D5D">
        <w:rPr>
          <w:sz w:val="20"/>
        </w:rPr>
        <w:t xml:space="preserve"> This represents the number of other individuals with background investigation </w:t>
      </w:r>
      <w:r>
        <w:rPr>
          <w:sz w:val="20"/>
        </w:rPr>
        <w:t xml:space="preserve">currently </w:t>
      </w:r>
      <w:r w:rsidRPr="00EB1D5D">
        <w:rPr>
          <w:sz w:val="20"/>
        </w:rPr>
        <w:t>in</w:t>
      </w:r>
      <w:r>
        <w:rPr>
          <w:sz w:val="20"/>
        </w:rPr>
        <w:t xml:space="preserve"> </w:t>
      </w:r>
      <w:r w:rsidRPr="00EB1D5D">
        <w:rPr>
          <w:sz w:val="20"/>
        </w:rPr>
        <w:t>process.</w:t>
      </w:r>
    </w:p>
    <w:p w:rsidR="00D83F2F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692850">
        <w:rPr>
          <w:b/>
          <w:sz w:val="20"/>
        </w:rPr>
        <w:t xml:space="preserve">Number of </w:t>
      </w:r>
      <w:r>
        <w:rPr>
          <w:b/>
          <w:sz w:val="20"/>
        </w:rPr>
        <w:t xml:space="preserve">other individuals </w:t>
      </w:r>
      <w:r w:rsidRPr="00692850">
        <w:rPr>
          <w:b/>
          <w:sz w:val="20"/>
        </w:rPr>
        <w:t>w</w:t>
      </w:r>
      <w:r>
        <w:rPr>
          <w:b/>
          <w:sz w:val="20"/>
        </w:rPr>
        <w:t>ith completed/adjudicated NACI</w:t>
      </w:r>
      <w:r w:rsidRPr="00692850">
        <w:rPr>
          <w:b/>
          <w:sz w:val="20"/>
        </w:rPr>
        <w:t xml:space="preserve"> (or equivalen</w:t>
      </w:r>
      <w:r>
        <w:rPr>
          <w:b/>
          <w:sz w:val="20"/>
        </w:rPr>
        <w:t xml:space="preserve">t background investigation)* </w:t>
      </w:r>
    </w:p>
    <w:p w:rsidR="00D83F2F" w:rsidRPr="00EB1D5D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  <w:rPr>
          <w:sz w:val="20"/>
        </w:rPr>
      </w:pPr>
      <w:r>
        <w:rPr>
          <w:sz w:val="20"/>
        </w:rPr>
        <w:t>T</w:t>
      </w:r>
      <w:r w:rsidRPr="00F66A48">
        <w:rPr>
          <w:sz w:val="20"/>
        </w:rPr>
        <w:t xml:space="preserve">his represents the number of </w:t>
      </w:r>
      <w:r>
        <w:rPr>
          <w:sz w:val="20"/>
        </w:rPr>
        <w:t xml:space="preserve">other individuals </w:t>
      </w:r>
      <w:r w:rsidRPr="00F66A48">
        <w:rPr>
          <w:sz w:val="20"/>
        </w:rPr>
        <w:t>that require PIV</w:t>
      </w:r>
      <w:r>
        <w:rPr>
          <w:sz w:val="20"/>
        </w:rPr>
        <w:t xml:space="preserve"> credentials with completed/adjudicated NACI </w:t>
      </w:r>
      <w:r w:rsidRPr="00692850">
        <w:rPr>
          <w:sz w:val="20"/>
        </w:rPr>
        <w:t xml:space="preserve">(or equivalent </w:t>
      </w:r>
      <w:r>
        <w:rPr>
          <w:sz w:val="20"/>
        </w:rPr>
        <w:t>b</w:t>
      </w:r>
      <w:r w:rsidRPr="00692850">
        <w:rPr>
          <w:sz w:val="20"/>
        </w:rPr>
        <w:t>ackground investigation</w:t>
      </w:r>
      <w:r>
        <w:rPr>
          <w:sz w:val="20"/>
        </w:rPr>
        <w:t xml:space="preserve">). </w:t>
      </w:r>
    </w:p>
    <w:p w:rsidR="00D83F2F" w:rsidRPr="00EB1D5D" w:rsidRDefault="00D83F2F" w:rsidP="00D83F2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 w:right="90"/>
        <w:rPr>
          <w:b/>
          <w:sz w:val="20"/>
        </w:rPr>
      </w:pPr>
      <w:r w:rsidRPr="00EB1D5D">
        <w:rPr>
          <w:b/>
          <w:sz w:val="20"/>
        </w:rPr>
        <w:t xml:space="preserve">Total Number of PIV </w:t>
      </w:r>
      <w:r>
        <w:rPr>
          <w:b/>
          <w:sz w:val="20"/>
        </w:rPr>
        <w:t>credentials</w:t>
      </w:r>
      <w:r w:rsidRPr="00EB1D5D">
        <w:rPr>
          <w:b/>
          <w:sz w:val="20"/>
        </w:rPr>
        <w:t xml:space="preserve"> issued to individuals other than employees or contractors (e.g. </w:t>
      </w:r>
      <w:r>
        <w:rPr>
          <w:b/>
          <w:sz w:val="20"/>
        </w:rPr>
        <w:t>guest researchers</w:t>
      </w:r>
      <w:r w:rsidRPr="00EB1D5D">
        <w:rPr>
          <w:b/>
          <w:sz w:val="20"/>
        </w:rPr>
        <w:t>)</w:t>
      </w:r>
    </w:p>
    <w:p w:rsidR="0012476A" w:rsidRDefault="00D83F2F" w:rsidP="00D83F2F">
      <w:pPr>
        <w:numPr>
          <w:ilvl w:val="1"/>
          <w:numId w:val="1"/>
        </w:numPr>
        <w:tabs>
          <w:tab w:val="clear" w:pos="1440"/>
          <w:tab w:val="num" w:pos="360"/>
          <w:tab w:val="left" w:pos="450"/>
          <w:tab w:val="left" w:pos="720"/>
          <w:tab w:val="num" w:pos="1080"/>
          <w:tab w:val="left" w:pos="10620"/>
        </w:tabs>
        <w:ind w:left="720" w:right="-90"/>
      </w:pPr>
      <w:r w:rsidRPr="00EB1D5D">
        <w:rPr>
          <w:sz w:val="20"/>
        </w:rPr>
        <w:t xml:space="preserve">This represents the number of other individuals with PIV </w:t>
      </w:r>
      <w:r>
        <w:rPr>
          <w:sz w:val="20"/>
        </w:rPr>
        <w:t>credentials</w:t>
      </w:r>
      <w:r w:rsidRPr="00EB1D5D">
        <w:rPr>
          <w:sz w:val="20"/>
        </w:rPr>
        <w:t xml:space="preserve"> issued.  </w:t>
      </w:r>
    </w:p>
    <w:sectPr w:rsidR="0012476A" w:rsidSect="00104A76">
      <w:pgSz w:w="20160" w:h="12240" w:orient="landscape" w:code="5"/>
      <w:pgMar w:top="576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1D" w:rsidRDefault="00FC7B1D">
      <w:r>
        <w:separator/>
      </w:r>
    </w:p>
  </w:endnote>
  <w:endnote w:type="continuationSeparator" w:id="0">
    <w:p w:rsidR="00FC7B1D" w:rsidRDefault="00F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1D" w:rsidRDefault="00FC7B1D">
      <w:r>
        <w:separator/>
      </w:r>
    </w:p>
  </w:footnote>
  <w:footnote w:type="continuationSeparator" w:id="0">
    <w:p w:rsidR="00FC7B1D" w:rsidRDefault="00FC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109480"/>
    <w:lvl w:ilvl="0">
      <w:numFmt w:val="bullet"/>
      <w:lvlText w:val="*"/>
      <w:lvlJc w:val="left"/>
    </w:lvl>
  </w:abstractNum>
  <w:abstractNum w:abstractNumId="1">
    <w:nsid w:val="354C63EA"/>
    <w:multiLevelType w:val="hybridMultilevel"/>
    <w:tmpl w:val="BC8CB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D350D"/>
    <w:multiLevelType w:val="hybridMultilevel"/>
    <w:tmpl w:val="F8EE66F0"/>
    <w:lvl w:ilvl="0" w:tplc="84D2F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2F"/>
    <w:rsid w:val="00005A10"/>
    <w:rsid w:val="0001611E"/>
    <w:rsid w:val="00052FF3"/>
    <w:rsid w:val="00053022"/>
    <w:rsid w:val="00055B7A"/>
    <w:rsid w:val="00073C07"/>
    <w:rsid w:val="00087E36"/>
    <w:rsid w:val="00097BBB"/>
    <w:rsid w:val="000A102A"/>
    <w:rsid w:val="000A25AA"/>
    <w:rsid w:val="000B10A7"/>
    <w:rsid w:val="000D517E"/>
    <w:rsid w:val="000E636C"/>
    <w:rsid w:val="000E676F"/>
    <w:rsid w:val="000E6AE8"/>
    <w:rsid w:val="000E73CB"/>
    <w:rsid w:val="000F4E94"/>
    <w:rsid w:val="000F74CD"/>
    <w:rsid w:val="001013B8"/>
    <w:rsid w:val="0010401C"/>
    <w:rsid w:val="00104A76"/>
    <w:rsid w:val="00106076"/>
    <w:rsid w:val="0012476A"/>
    <w:rsid w:val="00125973"/>
    <w:rsid w:val="00143683"/>
    <w:rsid w:val="0014404D"/>
    <w:rsid w:val="00144A1B"/>
    <w:rsid w:val="00157C92"/>
    <w:rsid w:val="00182ADF"/>
    <w:rsid w:val="001904AD"/>
    <w:rsid w:val="001934CC"/>
    <w:rsid w:val="001A69C3"/>
    <w:rsid w:val="001B59D1"/>
    <w:rsid w:val="001C7B8C"/>
    <w:rsid w:val="001F01C7"/>
    <w:rsid w:val="001F1C11"/>
    <w:rsid w:val="001F2EBA"/>
    <w:rsid w:val="001F496A"/>
    <w:rsid w:val="00207C9F"/>
    <w:rsid w:val="002107D8"/>
    <w:rsid w:val="00214B50"/>
    <w:rsid w:val="00227C39"/>
    <w:rsid w:val="00233AFF"/>
    <w:rsid w:val="002426EB"/>
    <w:rsid w:val="00254FCE"/>
    <w:rsid w:val="00280BF5"/>
    <w:rsid w:val="00291996"/>
    <w:rsid w:val="00292B3A"/>
    <w:rsid w:val="00295A8D"/>
    <w:rsid w:val="00296E83"/>
    <w:rsid w:val="002E029D"/>
    <w:rsid w:val="002E1AD0"/>
    <w:rsid w:val="002E3CB9"/>
    <w:rsid w:val="002E6D7F"/>
    <w:rsid w:val="002F741E"/>
    <w:rsid w:val="00314D21"/>
    <w:rsid w:val="00324A8D"/>
    <w:rsid w:val="00324B2B"/>
    <w:rsid w:val="00365F4A"/>
    <w:rsid w:val="0038257C"/>
    <w:rsid w:val="00385A06"/>
    <w:rsid w:val="00390713"/>
    <w:rsid w:val="00390B44"/>
    <w:rsid w:val="003A514A"/>
    <w:rsid w:val="003C5782"/>
    <w:rsid w:val="003E53D0"/>
    <w:rsid w:val="003F0AB0"/>
    <w:rsid w:val="004079B5"/>
    <w:rsid w:val="00422D01"/>
    <w:rsid w:val="00453123"/>
    <w:rsid w:val="00463A60"/>
    <w:rsid w:val="004A1CE0"/>
    <w:rsid w:val="004B0D4E"/>
    <w:rsid w:val="004C2986"/>
    <w:rsid w:val="004C424F"/>
    <w:rsid w:val="004D6F2A"/>
    <w:rsid w:val="004E0558"/>
    <w:rsid w:val="004E454A"/>
    <w:rsid w:val="004E4B80"/>
    <w:rsid w:val="004F1460"/>
    <w:rsid w:val="004F15C4"/>
    <w:rsid w:val="004F3FE6"/>
    <w:rsid w:val="004F634C"/>
    <w:rsid w:val="00503385"/>
    <w:rsid w:val="00504BB2"/>
    <w:rsid w:val="005078CD"/>
    <w:rsid w:val="00566D2A"/>
    <w:rsid w:val="00573CC6"/>
    <w:rsid w:val="00576D5D"/>
    <w:rsid w:val="00595231"/>
    <w:rsid w:val="005A5049"/>
    <w:rsid w:val="005A56BC"/>
    <w:rsid w:val="005B10CA"/>
    <w:rsid w:val="005C067C"/>
    <w:rsid w:val="005C2EB6"/>
    <w:rsid w:val="005C7B79"/>
    <w:rsid w:val="005D1037"/>
    <w:rsid w:val="005D3363"/>
    <w:rsid w:val="005F186F"/>
    <w:rsid w:val="005F6406"/>
    <w:rsid w:val="006001E4"/>
    <w:rsid w:val="0062400B"/>
    <w:rsid w:val="006431E5"/>
    <w:rsid w:val="00644D66"/>
    <w:rsid w:val="0064715C"/>
    <w:rsid w:val="00650C24"/>
    <w:rsid w:val="00656064"/>
    <w:rsid w:val="00667E55"/>
    <w:rsid w:val="0067048B"/>
    <w:rsid w:val="00687A8C"/>
    <w:rsid w:val="006918A7"/>
    <w:rsid w:val="006A58BB"/>
    <w:rsid w:val="006B1FBA"/>
    <w:rsid w:val="006C20ED"/>
    <w:rsid w:val="006D233F"/>
    <w:rsid w:val="006E09AA"/>
    <w:rsid w:val="006E771A"/>
    <w:rsid w:val="00703CA5"/>
    <w:rsid w:val="00710321"/>
    <w:rsid w:val="0071571C"/>
    <w:rsid w:val="00716914"/>
    <w:rsid w:val="00716C5F"/>
    <w:rsid w:val="00717613"/>
    <w:rsid w:val="00730F41"/>
    <w:rsid w:val="00731E53"/>
    <w:rsid w:val="00735A76"/>
    <w:rsid w:val="00741545"/>
    <w:rsid w:val="00741B61"/>
    <w:rsid w:val="00752BF4"/>
    <w:rsid w:val="0075495E"/>
    <w:rsid w:val="00755D97"/>
    <w:rsid w:val="00756FB3"/>
    <w:rsid w:val="00760602"/>
    <w:rsid w:val="00771A73"/>
    <w:rsid w:val="007769B0"/>
    <w:rsid w:val="00776C04"/>
    <w:rsid w:val="0078134C"/>
    <w:rsid w:val="007914AF"/>
    <w:rsid w:val="00795ED8"/>
    <w:rsid w:val="007A77CA"/>
    <w:rsid w:val="007B034D"/>
    <w:rsid w:val="007C4428"/>
    <w:rsid w:val="007D3DA1"/>
    <w:rsid w:val="007F267F"/>
    <w:rsid w:val="0080491E"/>
    <w:rsid w:val="008056B9"/>
    <w:rsid w:val="0081752D"/>
    <w:rsid w:val="00826D19"/>
    <w:rsid w:val="008444E8"/>
    <w:rsid w:val="00844CA4"/>
    <w:rsid w:val="00866636"/>
    <w:rsid w:val="00882555"/>
    <w:rsid w:val="00895DB3"/>
    <w:rsid w:val="008965A7"/>
    <w:rsid w:val="008B0610"/>
    <w:rsid w:val="008B465F"/>
    <w:rsid w:val="008C0073"/>
    <w:rsid w:val="008C7934"/>
    <w:rsid w:val="008F0A06"/>
    <w:rsid w:val="008F27E7"/>
    <w:rsid w:val="008F48F3"/>
    <w:rsid w:val="008F6406"/>
    <w:rsid w:val="008F7D1B"/>
    <w:rsid w:val="00900E4E"/>
    <w:rsid w:val="00901744"/>
    <w:rsid w:val="0090282D"/>
    <w:rsid w:val="00916F31"/>
    <w:rsid w:val="0092120A"/>
    <w:rsid w:val="0094094F"/>
    <w:rsid w:val="00970162"/>
    <w:rsid w:val="00980595"/>
    <w:rsid w:val="009869E6"/>
    <w:rsid w:val="00993951"/>
    <w:rsid w:val="00997D18"/>
    <w:rsid w:val="009A31B8"/>
    <w:rsid w:val="009A772D"/>
    <w:rsid w:val="009B4870"/>
    <w:rsid w:val="009D450E"/>
    <w:rsid w:val="009F116E"/>
    <w:rsid w:val="009F3AD5"/>
    <w:rsid w:val="00A146D7"/>
    <w:rsid w:val="00A20215"/>
    <w:rsid w:val="00A22268"/>
    <w:rsid w:val="00A52DA5"/>
    <w:rsid w:val="00A54D4B"/>
    <w:rsid w:val="00A65D94"/>
    <w:rsid w:val="00A67D93"/>
    <w:rsid w:val="00A75BC1"/>
    <w:rsid w:val="00A80054"/>
    <w:rsid w:val="00A873F7"/>
    <w:rsid w:val="00AA468F"/>
    <w:rsid w:val="00AA5B2B"/>
    <w:rsid w:val="00AD1143"/>
    <w:rsid w:val="00AE0A95"/>
    <w:rsid w:val="00AE5ACE"/>
    <w:rsid w:val="00AF764B"/>
    <w:rsid w:val="00B008DD"/>
    <w:rsid w:val="00B11E9F"/>
    <w:rsid w:val="00B2095E"/>
    <w:rsid w:val="00B23587"/>
    <w:rsid w:val="00B32E2B"/>
    <w:rsid w:val="00B3574D"/>
    <w:rsid w:val="00B37122"/>
    <w:rsid w:val="00B53AE3"/>
    <w:rsid w:val="00B60889"/>
    <w:rsid w:val="00B63AA9"/>
    <w:rsid w:val="00B76470"/>
    <w:rsid w:val="00BA2219"/>
    <w:rsid w:val="00BA708A"/>
    <w:rsid w:val="00BD04A7"/>
    <w:rsid w:val="00BE0DDC"/>
    <w:rsid w:val="00BE7D18"/>
    <w:rsid w:val="00BF34AD"/>
    <w:rsid w:val="00BF78F8"/>
    <w:rsid w:val="00C3639C"/>
    <w:rsid w:val="00C40F0A"/>
    <w:rsid w:val="00C97232"/>
    <w:rsid w:val="00CB039D"/>
    <w:rsid w:val="00CC7598"/>
    <w:rsid w:val="00CD1D1E"/>
    <w:rsid w:val="00CD5D48"/>
    <w:rsid w:val="00CF0538"/>
    <w:rsid w:val="00CF5F05"/>
    <w:rsid w:val="00CF7EE6"/>
    <w:rsid w:val="00D15475"/>
    <w:rsid w:val="00D2267F"/>
    <w:rsid w:val="00D26320"/>
    <w:rsid w:val="00D51DD3"/>
    <w:rsid w:val="00D5201A"/>
    <w:rsid w:val="00D5262E"/>
    <w:rsid w:val="00D54EE7"/>
    <w:rsid w:val="00D73CD0"/>
    <w:rsid w:val="00D7635C"/>
    <w:rsid w:val="00D80BCB"/>
    <w:rsid w:val="00D823BE"/>
    <w:rsid w:val="00D832B9"/>
    <w:rsid w:val="00D83F2F"/>
    <w:rsid w:val="00D8669E"/>
    <w:rsid w:val="00D931B2"/>
    <w:rsid w:val="00DB630C"/>
    <w:rsid w:val="00DC41A8"/>
    <w:rsid w:val="00DE13F8"/>
    <w:rsid w:val="00DF39AB"/>
    <w:rsid w:val="00DF6F6B"/>
    <w:rsid w:val="00E07126"/>
    <w:rsid w:val="00E141CD"/>
    <w:rsid w:val="00E14E88"/>
    <w:rsid w:val="00E200BB"/>
    <w:rsid w:val="00E3092F"/>
    <w:rsid w:val="00E32737"/>
    <w:rsid w:val="00E4206E"/>
    <w:rsid w:val="00E444FF"/>
    <w:rsid w:val="00E53FC6"/>
    <w:rsid w:val="00E60719"/>
    <w:rsid w:val="00E7486A"/>
    <w:rsid w:val="00E851F8"/>
    <w:rsid w:val="00E86895"/>
    <w:rsid w:val="00EA543E"/>
    <w:rsid w:val="00EA6E4A"/>
    <w:rsid w:val="00EA6F3E"/>
    <w:rsid w:val="00EB29D6"/>
    <w:rsid w:val="00EC62E8"/>
    <w:rsid w:val="00ED06D1"/>
    <w:rsid w:val="00ED3179"/>
    <w:rsid w:val="00EE6618"/>
    <w:rsid w:val="00F07AEE"/>
    <w:rsid w:val="00F07F7C"/>
    <w:rsid w:val="00F27479"/>
    <w:rsid w:val="00F35775"/>
    <w:rsid w:val="00F3650C"/>
    <w:rsid w:val="00F4105E"/>
    <w:rsid w:val="00F42AE1"/>
    <w:rsid w:val="00F471DF"/>
    <w:rsid w:val="00F73BCE"/>
    <w:rsid w:val="00F809D2"/>
    <w:rsid w:val="00F86D1F"/>
    <w:rsid w:val="00F91D1C"/>
    <w:rsid w:val="00F92841"/>
    <w:rsid w:val="00F92FB5"/>
    <w:rsid w:val="00F95714"/>
    <w:rsid w:val="00FC2363"/>
    <w:rsid w:val="00FC76A8"/>
    <w:rsid w:val="00FC7B1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D3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363"/>
  </w:style>
  <w:style w:type="paragraph" w:styleId="CommentSubject">
    <w:name w:val="annotation subject"/>
    <w:basedOn w:val="CommentText"/>
    <w:next w:val="CommentText"/>
    <w:link w:val="CommentSubjectChar"/>
    <w:rsid w:val="005D3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63"/>
    <w:rPr>
      <w:b/>
      <w:bCs/>
    </w:rPr>
  </w:style>
  <w:style w:type="paragraph" w:styleId="BalloonText">
    <w:name w:val="Balloon Text"/>
    <w:basedOn w:val="Normal"/>
    <w:link w:val="BalloonTextChar"/>
    <w:rsid w:val="005D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D3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363"/>
  </w:style>
  <w:style w:type="paragraph" w:styleId="CommentSubject">
    <w:name w:val="annotation subject"/>
    <w:basedOn w:val="CommentText"/>
    <w:next w:val="CommentText"/>
    <w:link w:val="CommentSubjectChar"/>
    <w:rsid w:val="005D3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363"/>
    <w:rPr>
      <w:b/>
      <w:bCs/>
    </w:rPr>
  </w:style>
  <w:style w:type="paragraph" w:styleId="BalloonText">
    <w:name w:val="Balloon Text"/>
    <w:basedOn w:val="Normal"/>
    <w:link w:val="BalloonTextChar"/>
    <w:rsid w:val="005D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838D-0C5A-46AF-AA4F-9E4943F4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1859</Words>
  <Characters>8941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Services Administration (GSA)</vt:lpstr>
    </vt:vector>
  </TitlesOfParts>
  <Company>GSA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Services Administration (GSA)</dc:title>
  <dc:creator>Paul Beirne</dc:creator>
  <cp:lastModifiedBy>TiffanyHGarner</cp:lastModifiedBy>
  <cp:revision>5</cp:revision>
  <cp:lastPrinted>2011-12-12T21:06:00Z</cp:lastPrinted>
  <dcterms:created xsi:type="dcterms:W3CDTF">2017-12-14T18:19:00Z</dcterms:created>
  <dcterms:modified xsi:type="dcterms:W3CDTF">2017-12-22T19:51:00Z</dcterms:modified>
</cp:coreProperties>
</file>