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AFC50" w14:textId="12DC4F8E" w:rsidR="00D55376" w:rsidRDefault="00D55376"/>
    <w:p w14:paraId="2A5CFECA" w14:textId="3697B2DC" w:rsidR="001C57BA" w:rsidRDefault="00071880" w:rsidP="001C57BA">
      <w:pPr>
        <w:tabs>
          <w:tab w:val="center" w:pos="7013"/>
          <w:tab w:val="left" w:pos="10356"/>
        </w:tabs>
        <w:rPr>
          <w:b/>
          <w:bCs/>
        </w:rPr>
      </w:pPr>
      <w:r>
        <w:tab/>
      </w:r>
      <w:r w:rsidR="005327F3" w:rsidRPr="00071880">
        <w:rPr>
          <w:b/>
          <w:bCs/>
        </w:rPr>
        <w:t xml:space="preserve">Findings </w:t>
      </w:r>
      <w:r w:rsidR="001C57BA">
        <w:rPr>
          <w:b/>
          <w:bCs/>
        </w:rPr>
        <w:t>of Discrimination</w:t>
      </w:r>
    </w:p>
    <w:p w14:paraId="7198F6AA" w14:textId="3D03A75D" w:rsidR="001C0B9B" w:rsidRDefault="001C0B9B" w:rsidP="001C0B9B">
      <w:pPr>
        <w:tabs>
          <w:tab w:val="center" w:pos="7013"/>
          <w:tab w:val="left" w:pos="10356"/>
        </w:tabs>
        <w:jc w:val="center"/>
        <w:rPr>
          <w:b/>
          <w:bCs/>
        </w:rPr>
      </w:pPr>
      <w:r>
        <w:rPr>
          <w:b/>
          <w:bCs/>
        </w:rPr>
        <w:t>FY 202</w:t>
      </w:r>
      <w:r w:rsidR="00F15812">
        <w:rPr>
          <w:b/>
          <w:bCs/>
        </w:rPr>
        <w:t>4</w:t>
      </w:r>
      <w:r>
        <w:rPr>
          <w:b/>
          <w:bCs/>
        </w:rPr>
        <w:t xml:space="preserve"> </w:t>
      </w:r>
      <w:r w:rsidR="005D50DB">
        <w:rPr>
          <w:b/>
          <w:bCs/>
        </w:rPr>
        <w:t>4th</w:t>
      </w:r>
      <w:r>
        <w:rPr>
          <w:b/>
          <w:bCs/>
        </w:rPr>
        <w:t xml:space="preserve"> Quarter</w:t>
      </w:r>
    </w:p>
    <w:p w14:paraId="65C9A99D" w14:textId="14B22D86" w:rsidR="000F212E" w:rsidRDefault="001C57BA" w:rsidP="001C57BA">
      <w:pPr>
        <w:tabs>
          <w:tab w:val="center" w:pos="7013"/>
          <w:tab w:val="left" w:pos="10356"/>
        </w:tabs>
        <w:jc w:val="center"/>
        <w:rPr>
          <w:b/>
          <w:bCs/>
        </w:rPr>
      </w:pPr>
      <w:r>
        <w:rPr>
          <w:b/>
          <w:bCs/>
        </w:rPr>
        <w:t>P</w:t>
      </w:r>
      <w:r w:rsidR="00071880" w:rsidRPr="00071880">
        <w:rPr>
          <w:b/>
          <w:bCs/>
        </w:rPr>
        <w:t>ursuant to the Elijah E. Cummings Federal Employee Anti-Discrimination Act of 2020</w:t>
      </w:r>
    </w:p>
    <w:p w14:paraId="2BE15F07" w14:textId="77777777" w:rsidR="00FE3FD1" w:rsidRDefault="00FE3FD1" w:rsidP="001C57BA">
      <w:pPr>
        <w:tabs>
          <w:tab w:val="center" w:pos="7013"/>
          <w:tab w:val="left" w:pos="10356"/>
        </w:tabs>
        <w:jc w:val="center"/>
        <w:rPr>
          <w:b/>
          <w:bCs/>
        </w:rPr>
      </w:pPr>
    </w:p>
    <w:tbl>
      <w:tblPr>
        <w:tblStyle w:val="GridTable4"/>
        <w:tblW w:w="0" w:type="auto"/>
        <w:jc w:val="center"/>
        <w:tblLook w:val="04A0" w:firstRow="1" w:lastRow="0" w:firstColumn="1" w:lastColumn="0" w:noHBand="0" w:noVBand="1"/>
      </w:tblPr>
      <w:tblGrid>
        <w:gridCol w:w="1615"/>
        <w:gridCol w:w="1260"/>
        <w:gridCol w:w="2880"/>
        <w:gridCol w:w="3695"/>
      </w:tblGrid>
      <w:tr w:rsidR="004F7CD4" w14:paraId="4C12F1F7" w14:textId="77777777" w:rsidTr="004F7CD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5" w:type="dxa"/>
          </w:tcPr>
          <w:p w14:paraId="4343F453" w14:textId="6182247D" w:rsidR="004F7CD4" w:rsidRDefault="004F7CD4" w:rsidP="00071880">
            <w:r>
              <w:t>Date of Finding</w:t>
            </w:r>
          </w:p>
        </w:tc>
        <w:tc>
          <w:tcPr>
            <w:tcW w:w="1260" w:type="dxa"/>
          </w:tcPr>
          <w:p w14:paraId="2100EE25" w14:textId="659B1709" w:rsidR="004F7CD4" w:rsidRDefault="004F7CD4" w:rsidP="00071880">
            <w:pPr>
              <w:cnfStyle w:val="100000000000" w:firstRow="1" w:lastRow="0" w:firstColumn="0" w:lastColumn="0" w:oddVBand="0" w:evenVBand="0" w:oddHBand="0" w:evenHBand="0" w:firstRowFirstColumn="0" w:firstRowLastColumn="0" w:lastRowFirstColumn="0" w:lastRowLastColumn="0"/>
            </w:pPr>
            <w:r>
              <w:t>Agency</w:t>
            </w:r>
          </w:p>
        </w:tc>
        <w:tc>
          <w:tcPr>
            <w:tcW w:w="2880" w:type="dxa"/>
          </w:tcPr>
          <w:p w14:paraId="3BBCBAB0" w14:textId="17873DB9" w:rsidR="004F7CD4" w:rsidRDefault="004F7CD4" w:rsidP="00071880">
            <w:pPr>
              <w:cnfStyle w:val="100000000000" w:firstRow="1" w:lastRow="0" w:firstColumn="0" w:lastColumn="0" w:oddVBand="0" w:evenVBand="0" w:oddHBand="0" w:evenHBand="0" w:firstRowFirstColumn="0" w:firstRowLastColumn="0" w:lastRowFirstColumn="0" w:lastRowLastColumn="0"/>
            </w:pPr>
            <w:r>
              <w:t>Date(s) Discrimination Occurred</w:t>
            </w:r>
          </w:p>
        </w:tc>
        <w:tc>
          <w:tcPr>
            <w:tcW w:w="3695" w:type="dxa"/>
          </w:tcPr>
          <w:p w14:paraId="5252C316" w14:textId="5CAD5D87" w:rsidR="004F7CD4" w:rsidRDefault="004F7CD4" w:rsidP="00071880">
            <w:pPr>
              <w:cnfStyle w:val="100000000000" w:firstRow="1" w:lastRow="0" w:firstColumn="0" w:lastColumn="0" w:oddVBand="0" w:evenVBand="0" w:oddHBand="0" w:evenHBand="0" w:firstRowFirstColumn="0" w:firstRowLastColumn="0" w:lastRowFirstColumn="0" w:lastRowLastColumn="0"/>
            </w:pPr>
            <w:r>
              <w:t>Law Violated</w:t>
            </w:r>
          </w:p>
        </w:tc>
      </w:tr>
      <w:tr w:rsidR="001A0A93" w14:paraId="4FCA8294" w14:textId="77777777" w:rsidTr="001A0A93">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1615" w:type="dxa"/>
            <w:shd w:val="clear" w:color="auto" w:fill="F2F2F2" w:themeFill="background1" w:themeFillShade="F2"/>
          </w:tcPr>
          <w:p w14:paraId="3FCC85E6" w14:textId="26B60D76" w:rsidR="001A0A93" w:rsidRDefault="001A0A93" w:rsidP="00071880">
            <w:r>
              <w:t>4/30/24</w:t>
            </w:r>
          </w:p>
        </w:tc>
        <w:tc>
          <w:tcPr>
            <w:tcW w:w="1260" w:type="dxa"/>
            <w:shd w:val="clear" w:color="auto" w:fill="F2F2F2" w:themeFill="background1" w:themeFillShade="F2"/>
          </w:tcPr>
          <w:p w14:paraId="243997AE" w14:textId="2D0090A3" w:rsidR="001A0A93" w:rsidRDefault="001A0A93" w:rsidP="00071880">
            <w:pPr>
              <w:cnfStyle w:val="000000100000" w:firstRow="0" w:lastRow="0" w:firstColumn="0" w:lastColumn="0" w:oddVBand="0" w:evenVBand="0" w:oddHBand="1" w:evenHBand="0" w:firstRowFirstColumn="0" w:firstRowLastColumn="0" w:lastRowFirstColumn="0" w:lastRowLastColumn="0"/>
            </w:pPr>
            <w:r>
              <w:t>GSA</w:t>
            </w:r>
          </w:p>
        </w:tc>
        <w:tc>
          <w:tcPr>
            <w:tcW w:w="2880" w:type="dxa"/>
            <w:shd w:val="clear" w:color="auto" w:fill="F2F2F2" w:themeFill="background1" w:themeFillShade="F2"/>
          </w:tcPr>
          <w:p w14:paraId="507CC0DB" w14:textId="6F928241" w:rsidR="001A0A93" w:rsidRDefault="001A0A93" w:rsidP="00071880">
            <w:pPr>
              <w:cnfStyle w:val="000000100000" w:firstRow="0" w:lastRow="0" w:firstColumn="0" w:lastColumn="0" w:oddVBand="0" w:evenVBand="0" w:oddHBand="1" w:evenHBand="0" w:firstRowFirstColumn="0" w:firstRowLastColumn="0" w:lastRowFirstColumn="0" w:lastRowLastColumn="0"/>
            </w:pPr>
            <w:r>
              <w:t>10/27/22</w:t>
            </w:r>
          </w:p>
        </w:tc>
        <w:tc>
          <w:tcPr>
            <w:tcW w:w="3695" w:type="dxa"/>
            <w:shd w:val="clear" w:color="auto" w:fill="F2F2F2" w:themeFill="background1" w:themeFillShade="F2"/>
          </w:tcPr>
          <w:p w14:paraId="5CFF78CF" w14:textId="68D8ABD1" w:rsidR="001A0A93" w:rsidRDefault="001A0A93" w:rsidP="00071880">
            <w:pPr>
              <w:cnfStyle w:val="000000100000" w:firstRow="0" w:lastRow="0" w:firstColumn="0" w:lastColumn="0" w:oddVBand="0" w:evenVBand="0" w:oddHBand="1" w:evenHBand="0" w:firstRowFirstColumn="0" w:firstRowLastColumn="0" w:lastRowFirstColumn="0" w:lastRowLastColumn="0"/>
            </w:pPr>
            <w:r>
              <w:t>Rehabilitation Act of 1973</w:t>
            </w:r>
          </w:p>
        </w:tc>
      </w:tr>
      <w:tr w:rsidR="005D50DB" w14:paraId="708A219E" w14:textId="77777777" w:rsidTr="001A0A93">
        <w:trPr>
          <w:trHeight w:val="557"/>
          <w:jc w:val="center"/>
        </w:trPr>
        <w:tc>
          <w:tcPr>
            <w:cnfStyle w:val="001000000000" w:firstRow="0" w:lastRow="0" w:firstColumn="1" w:lastColumn="0" w:oddVBand="0" w:evenVBand="0" w:oddHBand="0" w:evenHBand="0" w:firstRowFirstColumn="0" w:firstRowLastColumn="0" w:lastRowFirstColumn="0" w:lastRowLastColumn="0"/>
            <w:tcW w:w="1615" w:type="dxa"/>
            <w:shd w:val="clear" w:color="auto" w:fill="F2F2F2" w:themeFill="background1" w:themeFillShade="F2"/>
          </w:tcPr>
          <w:p w14:paraId="79904B05" w14:textId="5C3B2A26" w:rsidR="005D50DB" w:rsidRDefault="005D50DB" w:rsidP="00071880">
            <w:r>
              <w:t>8/20/24</w:t>
            </w:r>
          </w:p>
        </w:tc>
        <w:tc>
          <w:tcPr>
            <w:tcW w:w="1260" w:type="dxa"/>
            <w:shd w:val="clear" w:color="auto" w:fill="F2F2F2" w:themeFill="background1" w:themeFillShade="F2"/>
          </w:tcPr>
          <w:p w14:paraId="2F9B016C" w14:textId="1C9549F9" w:rsidR="005D50DB" w:rsidRDefault="005D50DB" w:rsidP="00071880">
            <w:pPr>
              <w:cnfStyle w:val="000000000000" w:firstRow="0" w:lastRow="0" w:firstColumn="0" w:lastColumn="0" w:oddVBand="0" w:evenVBand="0" w:oddHBand="0" w:evenHBand="0" w:firstRowFirstColumn="0" w:firstRowLastColumn="0" w:lastRowFirstColumn="0" w:lastRowLastColumn="0"/>
            </w:pPr>
            <w:r>
              <w:t>GSA</w:t>
            </w:r>
          </w:p>
        </w:tc>
        <w:tc>
          <w:tcPr>
            <w:tcW w:w="2880" w:type="dxa"/>
            <w:shd w:val="clear" w:color="auto" w:fill="F2F2F2" w:themeFill="background1" w:themeFillShade="F2"/>
          </w:tcPr>
          <w:p w14:paraId="6892475A" w14:textId="0BE74614" w:rsidR="005D50DB" w:rsidRDefault="005D50DB" w:rsidP="00071880">
            <w:pPr>
              <w:cnfStyle w:val="000000000000" w:firstRow="0" w:lastRow="0" w:firstColumn="0" w:lastColumn="0" w:oddVBand="0" w:evenVBand="0" w:oddHBand="0" w:evenHBand="0" w:firstRowFirstColumn="0" w:firstRowLastColumn="0" w:lastRowFirstColumn="0" w:lastRowLastColumn="0"/>
            </w:pPr>
            <w:r>
              <w:t>9/15/22</w:t>
            </w:r>
          </w:p>
        </w:tc>
        <w:tc>
          <w:tcPr>
            <w:tcW w:w="3695" w:type="dxa"/>
            <w:shd w:val="clear" w:color="auto" w:fill="F2F2F2" w:themeFill="background1" w:themeFillShade="F2"/>
          </w:tcPr>
          <w:p w14:paraId="4EC82D99" w14:textId="40DB023D" w:rsidR="005D50DB" w:rsidRDefault="005D50DB" w:rsidP="00071880">
            <w:pPr>
              <w:cnfStyle w:val="000000000000" w:firstRow="0" w:lastRow="0" w:firstColumn="0" w:lastColumn="0" w:oddVBand="0" w:evenVBand="0" w:oddHBand="0" w:evenHBand="0" w:firstRowFirstColumn="0" w:firstRowLastColumn="0" w:lastRowFirstColumn="0" w:lastRowLastColumn="0"/>
            </w:pPr>
            <w:r>
              <w:t>Title VII of the Civil Rights Act of 1964</w:t>
            </w:r>
          </w:p>
        </w:tc>
      </w:tr>
    </w:tbl>
    <w:p w14:paraId="5998B5C6" w14:textId="77777777" w:rsidR="00FE3FD1" w:rsidRDefault="00FE3FD1" w:rsidP="00071880"/>
    <w:p w14:paraId="4751B3E7" w14:textId="588DF910" w:rsidR="000F212E" w:rsidRDefault="008A073F" w:rsidP="00071880">
      <w:r>
        <w:t>RIGHTS AND PROTECTIONS</w:t>
      </w:r>
      <w:r w:rsidR="001C0B9B">
        <w:t>:</w:t>
      </w:r>
      <w:r>
        <w:t xml:space="preserve"> This Notice also informs all employees, former employees, and applicants for employment of the rights and protections available to them under Section 201 of the Notification and Federal Employee Antidiscrimination and Retaliation Act of 2002, as amended (No FEAR Act), Federal Antidiscrimination Laws, and Whistleblower Protection Laws. Please see the No FEAR Act Notice at the following link for more information:</w:t>
      </w:r>
      <w:r w:rsidRPr="008A073F">
        <w:t xml:space="preserve"> </w:t>
      </w:r>
      <w:hyperlink r:id="rId6" w:anchor="url=Notice" w:history="1">
        <w:r w:rsidRPr="008A073F">
          <w:rPr>
            <w:rStyle w:val="Hyperlink"/>
          </w:rPr>
          <w:t>No Fear Act</w:t>
        </w:r>
      </w:hyperlink>
      <w:r>
        <w:t xml:space="preserve"> </w:t>
      </w:r>
    </w:p>
    <w:sectPr w:rsidR="000F212E" w:rsidSect="00071880">
      <w:headerReference w:type="default" r:id="rId7"/>
      <w:pgSz w:w="15840" w:h="12240"/>
      <w:pgMar w:top="1440" w:right="907" w:bottom="1440" w:left="90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08EFF" w14:textId="77777777" w:rsidR="008B2E18" w:rsidRDefault="008B2E18" w:rsidP="008A073F">
      <w:pPr>
        <w:spacing w:after="0" w:line="240" w:lineRule="auto"/>
      </w:pPr>
      <w:r>
        <w:separator/>
      </w:r>
    </w:p>
  </w:endnote>
  <w:endnote w:type="continuationSeparator" w:id="0">
    <w:p w14:paraId="769A7553" w14:textId="77777777" w:rsidR="008B2E18" w:rsidRDefault="008B2E18" w:rsidP="008A0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32D8F" w14:textId="77777777" w:rsidR="008B2E18" w:rsidRDefault="008B2E18" w:rsidP="008A073F">
      <w:pPr>
        <w:spacing w:after="0" w:line="240" w:lineRule="auto"/>
      </w:pPr>
      <w:r>
        <w:separator/>
      </w:r>
    </w:p>
  </w:footnote>
  <w:footnote w:type="continuationSeparator" w:id="0">
    <w:p w14:paraId="5DA1C90C" w14:textId="77777777" w:rsidR="008B2E18" w:rsidRDefault="008B2E18" w:rsidP="008A0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77830" w14:textId="62A32346" w:rsidR="008A073F" w:rsidRDefault="008A073F" w:rsidP="008A073F">
    <w:pPr>
      <w:pStyle w:val="Header"/>
      <w:tabs>
        <w:tab w:val="clear" w:pos="4680"/>
        <w:tab w:val="clear" w:pos="9360"/>
        <w:tab w:val="left" w:pos="3350"/>
      </w:tabs>
    </w:pPr>
    <w:r>
      <w:rPr>
        <w:noProof/>
      </w:rPr>
      <w:drawing>
        <wp:inline distT="0" distB="0" distL="0" distR="0" wp14:anchorId="5158961F" wp14:editId="4E83F1F0">
          <wp:extent cx="692150" cy="622300"/>
          <wp:effectExtent l="0" t="0" r="0" b="0"/>
          <wp:docPr id="4" name="Picture 4" descr="GSA_Star_Mar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_Star_Mark-«(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 cy="622300"/>
                  </a:xfrm>
                  <a:prstGeom prst="rect">
                    <a:avLst/>
                  </a:prstGeom>
                  <a:noFill/>
                  <a:ln>
                    <a:noFill/>
                  </a:ln>
                </pic:spPr>
              </pic:pic>
            </a:graphicData>
          </a:graphic>
        </wp:inline>
      </w:drawing>
    </w:r>
    <w:r>
      <w:tab/>
    </w:r>
    <w:r>
      <w:tab/>
    </w:r>
    <w:r>
      <w:tab/>
    </w:r>
    <w:r>
      <w:tab/>
    </w:r>
    <w:r>
      <w:tab/>
    </w:r>
    <w:r>
      <w:tab/>
    </w:r>
    <w:r>
      <w:tab/>
    </w:r>
    <w:r>
      <w:tab/>
    </w:r>
    <w:r>
      <w:tab/>
    </w:r>
    <w:r>
      <w:tab/>
    </w:r>
    <w:r>
      <w:tab/>
      <w:t>Office of Civil Rights</w:t>
    </w:r>
  </w:p>
  <w:p w14:paraId="2D268A83" w14:textId="77777777" w:rsidR="008A073F" w:rsidRDefault="008A0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2E"/>
    <w:rsid w:val="000409CE"/>
    <w:rsid w:val="00071880"/>
    <w:rsid w:val="000E76B1"/>
    <w:rsid w:val="000F04FD"/>
    <w:rsid w:val="000F212E"/>
    <w:rsid w:val="00107D72"/>
    <w:rsid w:val="00190016"/>
    <w:rsid w:val="001A0A93"/>
    <w:rsid w:val="001C0B9B"/>
    <w:rsid w:val="001C57BA"/>
    <w:rsid w:val="0025494E"/>
    <w:rsid w:val="002B71ED"/>
    <w:rsid w:val="00366B27"/>
    <w:rsid w:val="003C1B68"/>
    <w:rsid w:val="00470A23"/>
    <w:rsid w:val="004E7B50"/>
    <w:rsid w:val="004F28AE"/>
    <w:rsid w:val="004F7CD4"/>
    <w:rsid w:val="005012BE"/>
    <w:rsid w:val="005327F3"/>
    <w:rsid w:val="00565D0B"/>
    <w:rsid w:val="00596DA5"/>
    <w:rsid w:val="005D50DB"/>
    <w:rsid w:val="00682A7B"/>
    <w:rsid w:val="0079147D"/>
    <w:rsid w:val="00810FE0"/>
    <w:rsid w:val="008A073F"/>
    <w:rsid w:val="008B2E18"/>
    <w:rsid w:val="008B575F"/>
    <w:rsid w:val="009C642B"/>
    <w:rsid w:val="00AD4A36"/>
    <w:rsid w:val="00B021C9"/>
    <w:rsid w:val="00B837A9"/>
    <w:rsid w:val="00BA05A6"/>
    <w:rsid w:val="00C06BB8"/>
    <w:rsid w:val="00D55376"/>
    <w:rsid w:val="00D92707"/>
    <w:rsid w:val="00DD5939"/>
    <w:rsid w:val="00E515AA"/>
    <w:rsid w:val="00EC66F3"/>
    <w:rsid w:val="00F15812"/>
    <w:rsid w:val="00F31180"/>
    <w:rsid w:val="00FA7CE8"/>
    <w:rsid w:val="00FD2C40"/>
    <w:rsid w:val="00FE3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49D9"/>
  <w15:chartTrackingRefBased/>
  <w15:docId w15:val="{D1D6AA99-ACB9-41EF-843A-A74565A1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2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073F"/>
    <w:rPr>
      <w:color w:val="0000FF" w:themeColor="hyperlink"/>
      <w:u w:val="single"/>
    </w:rPr>
  </w:style>
  <w:style w:type="character" w:styleId="UnresolvedMention">
    <w:name w:val="Unresolved Mention"/>
    <w:basedOn w:val="DefaultParagraphFont"/>
    <w:uiPriority w:val="99"/>
    <w:semiHidden/>
    <w:unhideWhenUsed/>
    <w:rsid w:val="008A073F"/>
    <w:rPr>
      <w:color w:val="605E5C"/>
      <w:shd w:val="clear" w:color="auto" w:fill="E1DFDD"/>
    </w:rPr>
  </w:style>
  <w:style w:type="paragraph" w:styleId="Header">
    <w:name w:val="header"/>
    <w:basedOn w:val="Normal"/>
    <w:link w:val="HeaderChar"/>
    <w:uiPriority w:val="99"/>
    <w:unhideWhenUsed/>
    <w:rsid w:val="008A0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73F"/>
  </w:style>
  <w:style w:type="paragraph" w:styleId="Footer">
    <w:name w:val="footer"/>
    <w:basedOn w:val="Normal"/>
    <w:link w:val="FooterChar"/>
    <w:uiPriority w:val="99"/>
    <w:unhideWhenUsed/>
    <w:rsid w:val="008A0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73F"/>
  </w:style>
  <w:style w:type="character" w:styleId="FollowedHyperlink">
    <w:name w:val="FollowedHyperlink"/>
    <w:basedOn w:val="DefaultParagraphFont"/>
    <w:uiPriority w:val="99"/>
    <w:semiHidden/>
    <w:unhideWhenUsed/>
    <w:rsid w:val="008A073F"/>
    <w:rPr>
      <w:color w:val="800080" w:themeColor="followedHyperlink"/>
      <w:u w:val="single"/>
    </w:rPr>
  </w:style>
  <w:style w:type="table" w:styleId="GridTable4-Accent6">
    <w:name w:val="Grid Table 4 Accent 6"/>
    <w:basedOn w:val="TableNormal"/>
    <w:uiPriority w:val="49"/>
    <w:rsid w:val="004F7CD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
    <w:name w:val="Grid Table 4"/>
    <w:basedOn w:val="TableNormal"/>
    <w:uiPriority w:val="49"/>
    <w:rsid w:val="004F7CD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689365">
      <w:bodyDiv w:val="1"/>
      <w:marLeft w:val="0"/>
      <w:marRight w:val="0"/>
      <w:marTop w:val="0"/>
      <w:marBottom w:val="0"/>
      <w:divBdr>
        <w:top w:val="none" w:sz="0" w:space="0" w:color="auto"/>
        <w:left w:val="none" w:sz="0" w:space="0" w:color="auto"/>
        <w:bottom w:val="none" w:sz="0" w:space="0" w:color="auto"/>
        <w:right w:val="none" w:sz="0" w:space="0" w:color="auto"/>
      </w:divBdr>
      <w:divsChild>
        <w:div w:id="1254315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pm.gov/equal-employment-opportunity/no-fear-ac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KarenWilliford</dc:creator>
  <cp:keywords/>
  <dc:description/>
  <cp:lastModifiedBy>KarenWilliford</cp:lastModifiedBy>
  <cp:revision>4</cp:revision>
  <cp:lastPrinted>2024-09-11T21:21:00Z</cp:lastPrinted>
  <dcterms:created xsi:type="dcterms:W3CDTF">2024-06-17T13:08:00Z</dcterms:created>
  <dcterms:modified xsi:type="dcterms:W3CDTF">2024-09-11T21:27:00Z</dcterms:modified>
</cp:coreProperties>
</file>