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6F26AAD" w14:textId="0BCBE1C4" w:rsidR="00375656" w:rsidRDefault="00375656" w:rsidP="00375656">
      <w:pPr>
        <w:pStyle w:val="Heading1"/>
        <w:spacing w:before="0" w:after="0" w:line="460" w:lineRule="exact"/>
        <w:rPr>
          <w:color w:val="FFFFFF" w:themeColor="background1"/>
        </w:rPr>
      </w:pPr>
      <w:r w:rsidRPr="00375656">
        <w:rPr>
          <w:noProof/>
          <w:color w:val="FFFFFF" w:themeColor="background1"/>
        </w:rPr>
        <mc:AlternateContent>
          <mc:Choice Requires="wps">
            <w:drawing>
              <wp:anchor distT="0" distB="0" distL="0" distR="0" simplePos="0" relativeHeight="251658240" behindDoc="1" locked="0" layoutInCell="1" hidden="0" allowOverlap="1" wp14:anchorId="31D9BFF4" wp14:editId="7A46B89B">
                <wp:simplePos x="0" y="0"/>
                <wp:positionH relativeFrom="page">
                  <wp:posOffset>0</wp:posOffset>
                </wp:positionH>
                <wp:positionV relativeFrom="page">
                  <wp:posOffset>0</wp:posOffset>
                </wp:positionV>
                <wp:extent cx="7805420" cy="1161774"/>
                <wp:effectExtent l="0" t="0" r="24130" b="19685"/>
                <wp:wrapNone/>
                <wp:docPr id="1" name="Rectangle 1"/>
                <wp:cNvGraphicFramePr/>
                <a:graphic xmlns:a="http://schemas.openxmlformats.org/drawingml/2006/main">
                  <a:graphicData uri="http://schemas.microsoft.com/office/word/2010/wordprocessingShape">
                    <wps:wsp>
                      <wps:cNvSpPr/>
                      <wps:spPr>
                        <a:xfrm>
                          <a:off x="0" y="0"/>
                          <a:ext cx="7805420" cy="1161774"/>
                        </a:xfrm>
                        <a:prstGeom prst="rect">
                          <a:avLst/>
                        </a:prstGeom>
                        <a:solidFill>
                          <a:schemeClr val="tx2">
                            <a:lumMod val="75000"/>
                          </a:schemeClr>
                        </a:solidFill>
                        <a:ln w="9525" cap="flat" cmpd="sng">
                          <a:solidFill>
                            <a:srgbClr val="3E6EC2"/>
                          </a:solidFill>
                          <a:prstDash val="solid"/>
                          <a:round/>
                          <a:headEnd type="none" w="sm" len="sm"/>
                          <a:tailEnd type="none" w="sm" len="sm"/>
                        </a:ln>
                      </wps:spPr>
                      <wps:txbx>
                        <w:txbxContent>
                          <w:p w14:paraId="4EA5C606" w14:textId="77777777" w:rsidR="008124B9" w:rsidRDefault="008124B9">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31D9BFF4" id="Rectangle 1" o:spid="_x0000_s1026" style="position:absolute;margin-left:0;margin-top:0;width:614.6pt;height:91.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" fillcolor="#17365d [2415]" strokecolor="#3e6ec2">
                <v:stroke startarrowwidth="narrow" startarrowlength="short" endarrowwidth="narrow" endarrowlength="short" joinstyle="round"/>
                <v:textbox inset="2.53958mm,2.53958mm,2.53958mm,2.53958mm">
                  <w:txbxContent>
                    <w:p w14:paraId="4EA5C606" w14:textId="77777777" w:rsidR="008124B9" w:rsidRDefault="008124B9">
                      <w:pPr>
                        <w:spacing w:after="0" w:line="240" w:lineRule="auto"/>
                        <w:textDirection w:val="btLr"/>
                      </w:pPr>
                    </w:p>
                  </w:txbxContent>
                </v:textbox>
                <w10:wrap anchorx="page" anchory="page"/>
              </v:rect>
            </w:pict>
          </mc:Fallback>
        </mc:AlternateContent>
      </w:r>
    </w:p>
    <w:p w14:paraId="12836636" w14:textId="7ACFAA79" w:rsidR="008124B9" w:rsidRPr="00375656" w:rsidRDefault="00770287" w:rsidP="00375656">
      <w:pPr>
        <w:pStyle w:val="Heading1"/>
        <w:spacing w:before="0" w:after="0" w:line="460" w:lineRule="exact"/>
        <w:rPr>
          <w:color w:val="FFFFFF" w:themeColor="background1"/>
        </w:rPr>
      </w:pPr>
      <w:bookmarkStart w:id="0" w:name="_njbixihmzzpk" w:colFirst="0" w:colLast="0"/>
      <w:bookmarkEnd w:id="0"/>
      <w:r w:rsidRPr="00375656">
        <w:rPr>
          <w:color w:val="FFFFFF" w:themeColor="background1"/>
        </w:rPr>
        <w:t>Preparing Federal Advisory Committee Charters</w:t>
      </w:r>
    </w:p>
    <w:p w14:paraId="55F4DFD6" w14:textId="77777777" w:rsidR="008124B9" w:rsidRPr="00375656" w:rsidRDefault="00770287" w:rsidP="00375656">
      <w:pPr>
        <w:pStyle w:val="Heading1"/>
        <w:spacing w:before="0" w:after="0" w:line="460" w:lineRule="exact"/>
        <w:rPr>
          <w:color w:val="FFFFFF"/>
          <w:sz w:val="44"/>
          <w:szCs w:val="44"/>
        </w:rPr>
      </w:pPr>
      <w:bookmarkStart w:id="1" w:name="_xyzr1cgn4fza" w:colFirst="0" w:colLast="0"/>
      <w:bookmarkEnd w:id="1"/>
      <w:r w:rsidRPr="00375656">
        <w:rPr>
          <w:color w:val="FFFFFF" w:themeColor="background1"/>
          <w:sz w:val="44"/>
          <w:szCs w:val="44"/>
        </w:rPr>
        <w:t xml:space="preserve">GSA Committee Management Secretariat </w:t>
      </w:r>
      <w:r w:rsidRPr="00375656">
        <w:rPr>
          <w:color w:val="FFFFFF"/>
          <w:sz w:val="44"/>
          <w:szCs w:val="44"/>
        </w:rPr>
        <w:t>Guidance</w:t>
      </w:r>
    </w:p>
    <w:p w14:paraId="2E3BF3C1" w14:textId="42D8CB45" w:rsidR="008124B9" w:rsidRDefault="008124B9">
      <w:pPr>
        <w:spacing w:before="120" w:line="240" w:lineRule="auto"/>
        <w:rPr>
          <w:b/>
          <w:bCs/>
          <w:color w:val="444746"/>
          <w:sz w:val="26"/>
          <w:szCs w:val="26"/>
        </w:rPr>
        <w:sectPr w:rsidR="008124B9">
          <w:footerReference w:type="default" r:id="rId7"/>
          <w:pgSz w:w="12240" w:h="15840"/>
          <w:pgMar w:top="0" w:right="1440" w:bottom="540" w:left="1080" w:header="720" w:footer="0" w:gutter="0"/>
          <w:pgNumType w:start="1"/>
          <w:cols w:space="720"/>
        </w:sectPr>
      </w:pPr>
    </w:p>
    <w:p w14:paraId="3211E36D" w14:textId="77777777" w:rsidR="00593910" w:rsidRDefault="00593910">
      <w:pPr>
        <w:pStyle w:val="Heading1"/>
        <w:spacing w:before="120" w:after="0" w:line="240" w:lineRule="auto"/>
        <w:rPr>
          <w:color w:val="2F5496"/>
          <w:sz w:val="32"/>
          <w:szCs w:val="32"/>
        </w:rPr>
      </w:pPr>
    </w:p>
    <w:p w14:paraId="4D02F2E0" w14:textId="0D668BE7" w:rsidR="008124B9" w:rsidRPr="00593910" w:rsidRDefault="00770287" w:rsidP="00593910">
      <w:pPr>
        <w:pStyle w:val="Heading2"/>
        <w:rPr>
          <w:color w:val="1F497D" w:themeColor="text2"/>
        </w:rPr>
      </w:pPr>
      <w:r w:rsidRPr="00593910">
        <w:rPr>
          <w:color w:val="1F497D" w:themeColor="text2"/>
        </w:rPr>
        <w:t>Introduction:</w:t>
      </w:r>
      <w:r w:rsidRPr="00593910">
        <w:rPr>
          <w:color w:val="1F497D" w:themeColor="text2"/>
        </w:rPr>
        <w:t xml:space="preserve"> </w:t>
      </w:r>
    </w:p>
    <w:p w14:paraId="052C6B52" w14:textId="77777777" w:rsidR="008124B9" w:rsidRDefault="00770287">
      <w:pPr>
        <w:spacing w:before="120" w:after="0" w:line="240" w:lineRule="auto"/>
        <w:ind w:right="-360"/>
        <w:rPr>
          <w:sz w:val="24"/>
          <w:szCs w:val="24"/>
        </w:rPr>
        <w:sectPr w:rsidR="008124B9">
          <w:type w:val="continuous"/>
          <w:pgSz w:w="12240" w:h="15840"/>
          <w:pgMar w:top="540" w:right="1440" w:bottom="540" w:left="1080" w:header="720" w:footer="0" w:gutter="0"/>
          <w:cols w:space="720"/>
        </w:sectPr>
      </w:pPr>
      <w:r>
        <w:rPr>
          <w:sz w:val="24"/>
          <w:szCs w:val="24"/>
        </w:rPr>
        <w:t xml:space="preserve">The Federal Advisory Committee Act (FACA), as amended (codified at </w:t>
      </w:r>
      <w:hyperlink r:id="rId8">
        <w:r w:rsidR="008124B9">
          <w:rPr>
            <w:color w:val="1155CC"/>
            <w:sz w:val="24"/>
            <w:szCs w:val="24"/>
            <w:u w:val="single"/>
          </w:rPr>
          <w:t>5 U.S.C. § 1001 et seq.</w:t>
        </w:r>
      </w:hyperlink>
      <w:r>
        <w:rPr>
          <w:sz w:val="24"/>
          <w:szCs w:val="24"/>
        </w:rPr>
        <w:t>) and the FACA implementing regulations (</w:t>
      </w:r>
      <w:hyperlink r:id="rId9">
        <w:r w:rsidR="008124B9">
          <w:rPr>
            <w:color w:val="0563C1"/>
            <w:sz w:val="24"/>
            <w:szCs w:val="24"/>
            <w:u w:val="single"/>
          </w:rPr>
          <w:t xml:space="preserve">41 CFR </w:t>
        </w:r>
      </w:hyperlink>
      <w:hyperlink r:id="rId10">
        <w:r w:rsidR="008124B9">
          <w:rPr>
            <w:color w:val="0563C1"/>
            <w:sz w:val="24"/>
            <w:szCs w:val="24"/>
            <w:u w:val="single"/>
          </w:rPr>
          <w:t>§</w:t>
        </w:r>
      </w:hyperlink>
      <w:hyperlink r:id="rId11">
        <w:r w:rsidR="008124B9">
          <w:rPr>
            <w:color w:val="0563C1"/>
            <w:sz w:val="24"/>
            <w:szCs w:val="24"/>
            <w:u w:val="single"/>
          </w:rPr>
          <w:t xml:space="preserve"> 102-3</w:t>
        </w:r>
      </w:hyperlink>
      <w:r>
        <w:rPr>
          <w:sz w:val="24"/>
          <w:szCs w:val="24"/>
        </w:rPr>
        <w:t>) provide the basis for, and guidance concerning, the management and operation of Federal advisory committees in the executive branch. Filing the charter marks the formal establishment of an advisory committee.  No advisory committee, discretionary or non-discretionary, may meet or take any action until a charter has been appropriately filed</w:t>
      </w:r>
      <w:r>
        <w:rPr>
          <w:i/>
          <w:iCs/>
          <w:sz w:val="24"/>
          <w:szCs w:val="24"/>
        </w:rPr>
        <w:t xml:space="preserve"> </w:t>
      </w:r>
      <w:r>
        <w:rPr>
          <w:sz w:val="24"/>
          <w:szCs w:val="24"/>
        </w:rPr>
        <w:t>(</w:t>
      </w:r>
      <w:hyperlink r:id="rId12">
        <w:r w:rsidR="008124B9">
          <w:rPr>
            <w:color w:val="0563C1"/>
            <w:sz w:val="24"/>
            <w:szCs w:val="24"/>
            <w:u w:val="single"/>
          </w:rPr>
          <w:t>41 CFR § 102-3.70</w:t>
        </w:r>
      </w:hyperlink>
      <w:r>
        <w:rPr>
          <w:sz w:val="24"/>
          <w:szCs w:val="24"/>
        </w:rPr>
        <w:t>). A discretionary advisory committee is established under the authority of an agency head or authorized by statute, and its establishment or termination is within the legal discretion of an agency head. A non-discretionary committee is either required by statute or by Presidential Directive, and its establishment or termination is beyond the legal discretion of an agency head. Given that filing the charter formally establishes an advisory committee and is a prerequisite for an advisory committee to conduct</w:t>
      </w:r>
      <w:r>
        <w:rPr>
          <w:sz w:val="24"/>
          <w:szCs w:val="24"/>
        </w:rPr>
        <w:t xml:space="preserve"> work, understanding its structure and content is critical, as well as the required consultation process with GSA and charter public notice and filing requirements.</w:t>
      </w:r>
    </w:p>
    <w:p w14:paraId="141DEA81" w14:textId="77777777" w:rsidR="008124B9" w:rsidRPr="00593910" w:rsidRDefault="00770287" w:rsidP="00593910">
      <w:pPr>
        <w:pStyle w:val="Heading2"/>
        <w:rPr>
          <w:color w:val="1F497D" w:themeColor="text2"/>
        </w:rPr>
      </w:pPr>
      <w:r w:rsidRPr="00593910">
        <w:rPr>
          <w:color w:val="1F497D" w:themeColor="text2"/>
        </w:rPr>
        <w:t>Charter Format and Content:</w:t>
      </w:r>
    </w:p>
    <w:p w14:paraId="5ABA15CD" w14:textId="77777777" w:rsidR="008124B9" w:rsidRDefault="00770287">
      <w:pPr>
        <w:pBdr>
          <w:top w:val="nil"/>
          <w:left w:val="nil"/>
          <w:bottom w:val="nil"/>
          <w:right w:val="nil"/>
          <w:between w:val="nil"/>
        </w:pBdr>
        <w:spacing w:before="120" w:after="0" w:line="240" w:lineRule="auto"/>
        <w:ind w:right="-360"/>
        <w:rPr>
          <w:strike/>
          <w:color w:val="000000"/>
          <w:sz w:val="24"/>
          <w:szCs w:val="24"/>
        </w:rPr>
      </w:pPr>
      <w:r>
        <w:rPr>
          <w:sz w:val="24"/>
          <w:szCs w:val="24"/>
        </w:rPr>
        <w:t xml:space="preserve">As cited in </w:t>
      </w:r>
      <w:hyperlink r:id="rId13">
        <w:r w:rsidR="008124B9">
          <w:rPr>
            <w:color w:val="1155CC"/>
            <w:sz w:val="24"/>
            <w:szCs w:val="24"/>
            <w:u w:val="single"/>
          </w:rPr>
          <w:t>41 CFR § 102-3.75</w:t>
        </w:r>
      </w:hyperlink>
      <w:r>
        <w:rPr>
          <w:sz w:val="24"/>
          <w:szCs w:val="24"/>
        </w:rPr>
        <w:t xml:space="preserve">, </w:t>
      </w:r>
      <w:r>
        <w:rPr>
          <w:b/>
          <w:bCs/>
          <w:sz w:val="24"/>
          <w:szCs w:val="24"/>
        </w:rPr>
        <w:t>t</w:t>
      </w:r>
      <w:r>
        <w:rPr>
          <w:b/>
          <w:bCs/>
          <w:color w:val="000000"/>
          <w:sz w:val="24"/>
          <w:szCs w:val="24"/>
        </w:rPr>
        <w:t xml:space="preserve">he charter must contain </w:t>
      </w:r>
      <w:r>
        <w:rPr>
          <w:b/>
          <w:bCs/>
          <w:sz w:val="24"/>
          <w:szCs w:val="24"/>
        </w:rPr>
        <w:t xml:space="preserve"> 13 sections</w:t>
      </w:r>
      <w:r>
        <w:rPr>
          <w:rFonts w:ascii="Quattrocento Sans" w:eastAsia="Quattrocento Sans" w:hAnsi="Quattrocento Sans" w:cs="Quattrocento Sans"/>
          <w:color w:val="FFFFFF"/>
          <w:sz w:val="24"/>
          <w:szCs w:val="24"/>
          <w:highlight w:val="white"/>
        </w:rPr>
        <w:t xml:space="preserve"> </w:t>
      </w:r>
      <w:r w:rsidRPr="00593910">
        <w:rPr>
          <w:rFonts w:ascii="Arial Unicode MS" w:eastAsia="Arial Unicode MS" w:hAnsi="Arial Unicode MS" w:cs="Arial Unicode MS"/>
          <w:color w:val="FFFFFF"/>
          <w:sz w:val="24"/>
          <w:szCs w:val="24"/>
          <w:highlight w:val="darkBlue"/>
          <w:shd w:val="clear" w:color="auto" w:fill="0563C1"/>
        </w:rPr>
        <w:t>⏴</w:t>
      </w:r>
      <w:r w:rsidRPr="00593910">
        <w:rPr>
          <w:color w:val="FFFFFF"/>
          <w:sz w:val="24"/>
          <w:szCs w:val="24"/>
          <w:highlight w:val="darkBlue"/>
          <w:shd w:val="clear" w:color="auto" w:fill="0563C1"/>
        </w:rPr>
        <w:t>Previously 15</w:t>
      </w:r>
      <w:r>
        <w:rPr>
          <w:sz w:val="24"/>
          <w:szCs w:val="24"/>
        </w:rPr>
        <w:t xml:space="preserve"> (two are now optional). Each section title is noted in bold text:</w:t>
      </w:r>
      <w:r>
        <w:rPr>
          <w:strike/>
          <w:color w:val="000000"/>
          <w:sz w:val="24"/>
          <w:szCs w:val="24"/>
        </w:rPr>
        <w:t xml:space="preserve"> </w:t>
      </w:r>
    </w:p>
    <w:p w14:paraId="2FE3497E" w14:textId="77777777" w:rsidR="008124B9" w:rsidRDefault="00770287">
      <w:pPr>
        <w:numPr>
          <w:ilvl w:val="0"/>
          <w:numId w:val="2"/>
        </w:numPr>
        <w:pBdr>
          <w:top w:val="nil"/>
          <w:left w:val="nil"/>
          <w:bottom w:val="nil"/>
          <w:right w:val="nil"/>
          <w:between w:val="nil"/>
        </w:pBdr>
        <w:spacing w:before="120" w:after="0" w:line="240" w:lineRule="auto"/>
        <w:rPr>
          <w:color w:val="000000"/>
          <w:sz w:val="24"/>
          <w:szCs w:val="24"/>
        </w:rPr>
      </w:pPr>
      <w:r>
        <w:rPr>
          <w:b/>
          <w:bCs/>
          <w:sz w:val="24"/>
          <w:szCs w:val="24"/>
        </w:rPr>
        <w:t>Advisory Committee’s Official Designation.</w:t>
      </w:r>
      <w:r>
        <w:rPr>
          <w:sz w:val="24"/>
          <w:szCs w:val="24"/>
        </w:rPr>
        <w:t xml:space="preserve"> </w:t>
      </w:r>
      <w:r>
        <w:rPr>
          <w:color w:val="000000"/>
          <w:sz w:val="24"/>
          <w:szCs w:val="24"/>
        </w:rPr>
        <w:t>The advisory committee's official designation (</w:t>
      </w:r>
      <w:r>
        <w:rPr>
          <w:sz w:val="24"/>
          <w:szCs w:val="24"/>
        </w:rPr>
        <w:t xml:space="preserve">its </w:t>
      </w:r>
      <w:r>
        <w:rPr>
          <w:color w:val="000000"/>
          <w:sz w:val="24"/>
          <w:szCs w:val="24"/>
        </w:rPr>
        <w:t xml:space="preserve">official name in the </w:t>
      </w:r>
      <w:hyperlink r:id="rId14">
        <w:r w:rsidR="008124B9">
          <w:rPr>
            <w:color w:val="1155CC"/>
            <w:sz w:val="24"/>
            <w:szCs w:val="24"/>
            <w:u w:val="single"/>
          </w:rPr>
          <w:t>FACA database</w:t>
        </w:r>
      </w:hyperlink>
      <w:r>
        <w:rPr>
          <w:color w:val="000000"/>
          <w:sz w:val="24"/>
          <w:szCs w:val="24"/>
        </w:rPr>
        <w:t>). </w:t>
      </w:r>
    </w:p>
    <w:p w14:paraId="3D872F74" w14:textId="77777777" w:rsidR="008124B9" w:rsidRDefault="00770287">
      <w:pPr>
        <w:numPr>
          <w:ilvl w:val="0"/>
          <w:numId w:val="2"/>
        </w:numPr>
        <w:pBdr>
          <w:top w:val="nil"/>
          <w:left w:val="nil"/>
          <w:bottom w:val="nil"/>
          <w:right w:val="nil"/>
          <w:between w:val="nil"/>
        </w:pBdr>
        <w:spacing w:before="120" w:after="0" w:line="240" w:lineRule="auto"/>
        <w:rPr>
          <w:color w:val="000000"/>
          <w:sz w:val="24"/>
          <w:szCs w:val="24"/>
        </w:rPr>
      </w:pPr>
      <w:r>
        <w:rPr>
          <w:b/>
          <w:bCs/>
          <w:sz w:val="24"/>
          <w:szCs w:val="24"/>
        </w:rPr>
        <w:t>Authority</w:t>
      </w:r>
      <w:r>
        <w:rPr>
          <w:sz w:val="24"/>
          <w:szCs w:val="24"/>
        </w:rPr>
        <w:t xml:space="preserve">. </w:t>
      </w:r>
      <w:r>
        <w:rPr>
          <w:color w:val="000000"/>
          <w:sz w:val="24"/>
          <w:szCs w:val="24"/>
        </w:rPr>
        <w:t>The legal authority that permits the advisory committee to be established, renewed, re-established, or merged; also specify that the action is in accordance with the provisions of FACA. </w:t>
      </w:r>
    </w:p>
    <w:p w14:paraId="06345654" w14:textId="77777777" w:rsidR="008124B9" w:rsidRDefault="00770287">
      <w:pPr>
        <w:numPr>
          <w:ilvl w:val="0"/>
          <w:numId w:val="2"/>
        </w:numPr>
        <w:pBdr>
          <w:top w:val="nil"/>
          <w:left w:val="nil"/>
          <w:bottom w:val="nil"/>
          <w:right w:val="nil"/>
          <w:between w:val="nil"/>
        </w:pBdr>
        <w:spacing w:before="120" w:after="0" w:line="240" w:lineRule="auto"/>
        <w:rPr>
          <w:color w:val="000000"/>
          <w:sz w:val="24"/>
          <w:szCs w:val="24"/>
        </w:rPr>
      </w:pPr>
      <w:r>
        <w:rPr>
          <w:b/>
          <w:bCs/>
          <w:sz w:val="24"/>
          <w:szCs w:val="24"/>
        </w:rPr>
        <w:t>Objectives and Scope of Activities</w:t>
      </w:r>
      <w:r>
        <w:rPr>
          <w:sz w:val="24"/>
          <w:szCs w:val="24"/>
        </w:rPr>
        <w:t xml:space="preserve">. </w:t>
      </w:r>
      <w:r>
        <w:rPr>
          <w:color w:val="000000"/>
          <w:sz w:val="24"/>
          <w:szCs w:val="24"/>
        </w:rPr>
        <w:t>The objectives and the scope of the advisory committee's activities, which are the overall purpose of the committee. </w:t>
      </w:r>
    </w:p>
    <w:p w14:paraId="20E0782F" w14:textId="77777777" w:rsidR="008124B9" w:rsidRDefault="00770287">
      <w:pPr>
        <w:numPr>
          <w:ilvl w:val="0"/>
          <w:numId w:val="2"/>
        </w:numPr>
        <w:pBdr>
          <w:top w:val="nil"/>
          <w:left w:val="nil"/>
          <w:bottom w:val="nil"/>
          <w:right w:val="nil"/>
          <w:between w:val="nil"/>
        </w:pBdr>
        <w:spacing w:before="120" w:after="0" w:line="240" w:lineRule="auto"/>
        <w:rPr>
          <w:color w:val="000000"/>
          <w:sz w:val="24"/>
          <w:szCs w:val="24"/>
        </w:rPr>
      </w:pPr>
      <w:r>
        <w:rPr>
          <w:b/>
          <w:bCs/>
          <w:sz w:val="24"/>
          <w:szCs w:val="24"/>
        </w:rPr>
        <w:t>Description of Duties</w:t>
      </w:r>
      <w:r>
        <w:rPr>
          <w:sz w:val="24"/>
          <w:szCs w:val="24"/>
        </w:rPr>
        <w:t xml:space="preserve">. </w:t>
      </w:r>
      <w:r>
        <w:rPr>
          <w:color w:val="000000"/>
          <w:sz w:val="24"/>
          <w:szCs w:val="24"/>
        </w:rPr>
        <w:t>A description of the duties</w:t>
      </w:r>
      <w:r>
        <w:rPr>
          <w:b/>
          <w:bCs/>
          <w:color w:val="000000"/>
          <w:sz w:val="24"/>
          <w:szCs w:val="24"/>
        </w:rPr>
        <w:t xml:space="preserve"> </w:t>
      </w:r>
      <w:r>
        <w:rPr>
          <w:color w:val="000000"/>
          <w:sz w:val="24"/>
          <w:szCs w:val="24"/>
        </w:rPr>
        <w:t>for which the advisory committee is responsible; also specify the authority for any non-advisory functions. Duties must be d</w:t>
      </w:r>
      <w:r>
        <w:rPr>
          <w:sz w:val="24"/>
          <w:szCs w:val="24"/>
        </w:rPr>
        <w:t>escribed</w:t>
      </w:r>
      <w:r>
        <w:rPr>
          <w:color w:val="000000"/>
          <w:sz w:val="24"/>
          <w:szCs w:val="24"/>
        </w:rPr>
        <w:t xml:space="preserve"> as solely advisory in the absence of specific statutory authority or Presidential </w:t>
      </w:r>
      <w:r>
        <w:rPr>
          <w:sz w:val="24"/>
          <w:szCs w:val="24"/>
        </w:rPr>
        <w:t>D</w:t>
      </w:r>
      <w:r>
        <w:rPr>
          <w:color w:val="000000"/>
          <w:sz w:val="24"/>
          <w:szCs w:val="24"/>
        </w:rPr>
        <w:t>irective to the contrary. </w:t>
      </w:r>
    </w:p>
    <w:p w14:paraId="5E6F683B" w14:textId="77777777" w:rsidR="008124B9" w:rsidRDefault="00770287">
      <w:pPr>
        <w:numPr>
          <w:ilvl w:val="0"/>
          <w:numId w:val="2"/>
        </w:numPr>
        <w:pBdr>
          <w:top w:val="nil"/>
          <w:left w:val="nil"/>
          <w:bottom w:val="nil"/>
          <w:right w:val="nil"/>
          <w:between w:val="nil"/>
        </w:pBdr>
        <w:spacing w:before="120" w:after="0" w:line="240" w:lineRule="auto"/>
        <w:rPr>
          <w:color w:val="000000"/>
          <w:sz w:val="24"/>
          <w:szCs w:val="24"/>
        </w:rPr>
      </w:pPr>
      <w:r>
        <w:rPr>
          <w:b/>
          <w:bCs/>
          <w:sz w:val="24"/>
          <w:szCs w:val="24"/>
        </w:rPr>
        <w:t xml:space="preserve">Agency or Federal Officer Receiving the Advisory Committee’s Advice/Recommendations. </w:t>
      </w:r>
      <w:r>
        <w:rPr>
          <w:color w:val="000000"/>
          <w:sz w:val="24"/>
          <w:szCs w:val="24"/>
        </w:rPr>
        <w:t xml:space="preserve">The agency or Federal officer [by title or position] </w:t>
      </w:r>
      <w:proofErr w:type="gramStart"/>
      <w:r>
        <w:rPr>
          <w:color w:val="000000"/>
          <w:sz w:val="24"/>
          <w:szCs w:val="24"/>
        </w:rPr>
        <w:t>receiving</w:t>
      </w:r>
      <w:proofErr w:type="gramEnd"/>
      <w:r>
        <w:rPr>
          <w:color w:val="000000"/>
          <w:sz w:val="24"/>
          <w:szCs w:val="24"/>
        </w:rPr>
        <w:t xml:space="preserve"> the advisory committee recommendations. </w:t>
      </w:r>
    </w:p>
    <w:p w14:paraId="72FE925F" w14:textId="77777777" w:rsidR="008124B9" w:rsidRDefault="00770287">
      <w:pPr>
        <w:numPr>
          <w:ilvl w:val="0"/>
          <w:numId w:val="2"/>
        </w:numPr>
        <w:pBdr>
          <w:top w:val="nil"/>
          <w:left w:val="nil"/>
          <w:bottom w:val="nil"/>
          <w:right w:val="nil"/>
          <w:between w:val="nil"/>
        </w:pBdr>
        <w:spacing w:before="120" w:after="0" w:line="240" w:lineRule="auto"/>
        <w:rPr>
          <w:color w:val="000000"/>
          <w:sz w:val="24"/>
          <w:szCs w:val="24"/>
        </w:rPr>
      </w:pPr>
      <w:r>
        <w:rPr>
          <w:b/>
          <w:bCs/>
          <w:sz w:val="24"/>
          <w:szCs w:val="24"/>
        </w:rPr>
        <w:t>Support</w:t>
      </w:r>
      <w:r>
        <w:rPr>
          <w:sz w:val="24"/>
          <w:szCs w:val="24"/>
        </w:rPr>
        <w:t xml:space="preserve">. </w:t>
      </w:r>
      <w:r>
        <w:rPr>
          <w:color w:val="000000"/>
          <w:sz w:val="24"/>
          <w:szCs w:val="24"/>
        </w:rPr>
        <w:t>The agency/component office responsible for providing the necessary support to the advisory committee, including the name of the President's delegate, agency, or organization responsible for fulfilling the reporting requirements of sec. 6(b) of the Act (codified at 5 U.S.C. 1005(b)), if appropriate. </w:t>
      </w:r>
    </w:p>
    <w:p w14:paraId="2B4238C7" w14:textId="77777777" w:rsidR="008124B9" w:rsidRDefault="00770287">
      <w:pPr>
        <w:numPr>
          <w:ilvl w:val="0"/>
          <w:numId w:val="2"/>
        </w:numPr>
        <w:pBdr>
          <w:top w:val="nil"/>
          <w:left w:val="nil"/>
          <w:bottom w:val="nil"/>
          <w:right w:val="nil"/>
          <w:between w:val="nil"/>
        </w:pBdr>
        <w:spacing w:before="120" w:after="0" w:line="240" w:lineRule="auto"/>
        <w:rPr>
          <w:color w:val="000000"/>
          <w:sz w:val="24"/>
          <w:szCs w:val="24"/>
        </w:rPr>
      </w:pPr>
      <w:r>
        <w:rPr>
          <w:b/>
          <w:bCs/>
          <w:sz w:val="24"/>
          <w:szCs w:val="24"/>
        </w:rPr>
        <w:t>Estimated Annual Operating Costs and Staff Years</w:t>
      </w:r>
      <w:r>
        <w:rPr>
          <w:sz w:val="24"/>
          <w:szCs w:val="24"/>
        </w:rPr>
        <w:t xml:space="preserve">. </w:t>
      </w:r>
      <w:r>
        <w:rPr>
          <w:color w:val="000000"/>
          <w:sz w:val="24"/>
          <w:szCs w:val="24"/>
        </w:rPr>
        <w:t>The</w:t>
      </w:r>
      <w:r>
        <w:rPr>
          <w:b/>
          <w:bCs/>
          <w:color w:val="000000"/>
          <w:sz w:val="24"/>
          <w:szCs w:val="24"/>
        </w:rPr>
        <w:t xml:space="preserve"> </w:t>
      </w:r>
      <w:r>
        <w:rPr>
          <w:color w:val="000000"/>
          <w:sz w:val="24"/>
          <w:szCs w:val="24"/>
        </w:rPr>
        <w:t xml:space="preserve">estimated annual costs to operate the advisory committee in dollars and person years (FTE). The estimated costs should be consistent with the data reported in the </w:t>
      </w:r>
      <w:hyperlink r:id="rId15">
        <w:r w:rsidR="008124B9">
          <w:rPr>
            <w:color w:val="1155CC"/>
            <w:sz w:val="24"/>
            <w:szCs w:val="24"/>
            <w:u w:val="single"/>
          </w:rPr>
          <w:t>FACA database</w:t>
        </w:r>
      </w:hyperlink>
      <w:r>
        <w:rPr>
          <w:sz w:val="24"/>
          <w:szCs w:val="24"/>
        </w:rPr>
        <w:t>,</w:t>
      </w:r>
      <w:r>
        <w:rPr>
          <w:color w:val="000000"/>
          <w:sz w:val="24"/>
          <w:szCs w:val="24"/>
        </w:rPr>
        <w:t xml:space="preserve"> and the </w:t>
      </w:r>
      <w:r>
        <w:rPr>
          <w:sz w:val="24"/>
          <w:szCs w:val="24"/>
        </w:rPr>
        <w:t xml:space="preserve">annual expected costs for </w:t>
      </w:r>
      <w:r>
        <w:rPr>
          <w:sz w:val="24"/>
          <w:szCs w:val="24"/>
        </w:rPr>
        <w:lastRenderedPageBreak/>
        <w:t xml:space="preserve">ALL committees must also be broken down </w:t>
      </w:r>
      <w:r>
        <w:rPr>
          <w:color w:val="000000"/>
          <w:sz w:val="24"/>
          <w:szCs w:val="24"/>
        </w:rPr>
        <w:t xml:space="preserve">into the three categories described in </w:t>
      </w:r>
      <w:hyperlink r:id="rId16" w:anchor="p-102-3.60(a)">
        <w:r w:rsidR="008124B9">
          <w:rPr>
            <w:color w:val="1155CC"/>
            <w:sz w:val="24"/>
            <w:szCs w:val="24"/>
            <w:u w:val="single"/>
          </w:rPr>
          <w:t>41 CFR § 102-3.60(a)</w:t>
        </w:r>
      </w:hyperlink>
      <w:r>
        <w:rPr>
          <w:color w:val="000000"/>
          <w:sz w:val="24"/>
          <w:szCs w:val="24"/>
        </w:rPr>
        <w:t>:</w:t>
      </w:r>
    </w:p>
    <w:p w14:paraId="26890449" w14:textId="77777777" w:rsidR="008124B9" w:rsidRDefault="00770287">
      <w:pPr>
        <w:pBdr>
          <w:top w:val="nil"/>
          <w:left w:val="nil"/>
          <w:bottom w:val="nil"/>
          <w:right w:val="nil"/>
          <w:between w:val="nil"/>
        </w:pBdr>
        <w:spacing w:before="120" w:after="0" w:line="240" w:lineRule="auto"/>
        <w:ind w:left="1440"/>
        <w:rPr>
          <w:rFonts w:ascii="Times New Roman" w:eastAsia="Times New Roman" w:hAnsi="Times New Roman" w:cs="Times New Roman"/>
          <w:color w:val="000000"/>
          <w:sz w:val="24"/>
          <w:szCs w:val="24"/>
        </w:rPr>
      </w:pPr>
      <w:r>
        <w:rPr>
          <w:i/>
          <w:iCs/>
          <w:color w:val="000000"/>
          <w:sz w:val="24"/>
          <w:szCs w:val="24"/>
        </w:rPr>
        <w:t>(</w:t>
      </w:r>
      <w:proofErr w:type="spellStart"/>
      <w:r>
        <w:rPr>
          <w:i/>
          <w:iCs/>
          <w:color w:val="000000"/>
          <w:sz w:val="24"/>
          <w:szCs w:val="24"/>
        </w:rPr>
        <w:t>i</w:t>
      </w:r>
      <w:proofErr w:type="spellEnd"/>
      <w:r>
        <w:rPr>
          <w:i/>
          <w:iCs/>
          <w:color w:val="000000"/>
          <w:sz w:val="24"/>
          <w:szCs w:val="24"/>
        </w:rPr>
        <w:t>) Federal personnel (based on full-time equivalent (FTE) usage basis) and other Federal internal costs (anticipated total value (in dollars) of costs such as IT and supplies for meetings</w:t>
      </w:r>
      <w:proofErr w:type="gramStart"/>
      <w:r>
        <w:rPr>
          <w:i/>
          <w:iCs/>
          <w:color w:val="000000"/>
          <w:sz w:val="24"/>
          <w:szCs w:val="24"/>
        </w:rPr>
        <w:t>);</w:t>
      </w:r>
      <w:proofErr w:type="gramEnd"/>
    </w:p>
    <w:p w14:paraId="71761DC3" w14:textId="77777777" w:rsidR="008124B9" w:rsidRDefault="00770287">
      <w:pPr>
        <w:pBdr>
          <w:top w:val="nil"/>
          <w:left w:val="nil"/>
          <w:bottom w:val="nil"/>
          <w:right w:val="nil"/>
          <w:between w:val="nil"/>
        </w:pBdr>
        <w:spacing w:before="120" w:after="0" w:line="240" w:lineRule="auto"/>
        <w:ind w:left="1440"/>
        <w:rPr>
          <w:rFonts w:ascii="Times New Roman" w:eastAsia="Times New Roman" w:hAnsi="Times New Roman" w:cs="Times New Roman"/>
          <w:color w:val="000000"/>
          <w:sz w:val="24"/>
          <w:szCs w:val="24"/>
        </w:rPr>
      </w:pPr>
      <w:r>
        <w:rPr>
          <w:i/>
          <w:iCs/>
          <w:color w:val="000000"/>
          <w:sz w:val="24"/>
          <w:szCs w:val="24"/>
        </w:rPr>
        <w:t xml:space="preserve">(ii) Proposed payments to members (this is $0 if members are not paid) and number of members. Both should be consistent with the authority, charter, and data reported in the </w:t>
      </w:r>
      <w:hyperlink r:id="rId17">
        <w:r w:rsidR="008124B9">
          <w:rPr>
            <w:i/>
            <w:iCs/>
            <w:color w:val="1155CC"/>
            <w:sz w:val="24"/>
            <w:szCs w:val="24"/>
            <w:u w:val="single"/>
          </w:rPr>
          <w:t>FACA database</w:t>
        </w:r>
      </w:hyperlink>
      <w:r>
        <w:rPr>
          <w:i/>
          <w:iCs/>
          <w:color w:val="000000"/>
          <w:sz w:val="24"/>
          <w:szCs w:val="24"/>
        </w:rPr>
        <w:t>; and </w:t>
      </w:r>
    </w:p>
    <w:p w14:paraId="5B60B959" w14:textId="77777777" w:rsidR="008124B9" w:rsidRDefault="00770287">
      <w:pPr>
        <w:pBdr>
          <w:top w:val="nil"/>
          <w:left w:val="nil"/>
          <w:bottom w:val="nil"/>
          <w:right w:val="nil"/>
          <w:between w:val="nil"/>
        </w:pBdr>
        <w:spacing w:before="120" w:after="0" w:line="240" w:lineRule="auto"/>
        <w:ind w:left="1440"/>
        <w:rPr>
          <w:i/>
          <w:iCs/>
          <w:color w:val="000000"/>
          <w:sz w:val="24"/>
          <w:szCs w:val="24"/>
        </w:rPr>
      </w:pPr>
      <w:r>
        <w:rPr>
          <w:i/>
          <w:iCs/>
          <w:color w:val="000000"/>
          <w:sz w:val="24"/>
          <w:szCs w:val="24"/>
        </w:rPr>
        <w:t xml:space="preserve">(iii) Reimbursable costs (such as travel expenses (e.g., per diem) described in </w:t>
      </w:r>
      <w:hyperlink r:id="rId18">
        <w:r w:rsidR="008124B9">
          <w:rPr>
            <w:i/>
            <w:iCs/>
            <w:color w:val="1155CC"/>
            <w:sz w:val="24"/>
            <w:szCs w:val="24"/>
            <w:u w:val="single"/>
          </w:rPr>
          <w:t>41 CFR § 102-130(e)</w:t>
        </w:r>
      </w:hyperlink>
      <w:r>
        <w:rPr>
          <w:i/>
          <w:iCs/>
          <w:color w:val="000000"/>
          <w:sz w:val="24"/>
          <w:szCs w:val="24"/>
        </w:rPr>
        <w:t>). </w:t>
      </w:r>
    </w:p>
    <w:p w14:paraId="28B380BF" w14:textId="77777777" w:rsidR="008124B9" w:rsidRDefault="00770287" w:rsidP="00593910">
      <w:pPr>
        <w:pBdr>
          <w:top w:val="nil"/>
          <w:left w:val="nil"/>
          <w:bottom w:val="nil"/>
          <w:right w:val="nil"/>
          <w:between w:val="nil"/>
        </w:pBdr>
        <w:spacing w:before="120" w:after="0" w:line="240" w:lineRule="auto"/>
        <w:ind w:left="720"/>
        <w:rPr>
          <w:color w:val="EE0000"/>
          <w:sz w:val="24"/>
          <w:szCs w:val="24"/>
        </w:rPr>
      </w:pPr>
      <w:r>
        <w:rPr>
          <w:color w:val="EE0000"/>
          <w:sz w:val="24"/>
          <w:szCs w:val="24"/>
        </w:rPr>
        <w:t xml:space="preserve">[Including a </w:t>
      </w:r>
      <w:r>
        <w:rPr>
          <w:b/>
          <w:bCs/>
          <w:color w:val="EE0000"/>
          <w:sz w:val="24"/>
          <w:szCs w:val="24"/>
        </w:rPr>
        <w:t>Designated Federal Officer</w:t>
      </w:r>
      <w:r>
        <w:rPr>
          <w:color w:val="EE0000"/>
          <w:sz w:val="24"/>
          <w:szCs w:val="24"/>
        </w:rPr>
        <w:t xml:space="preserve"> section is optional. If included, please reference the requirements in </w:t>
      </w:r>
      <w:hyperlink r:id="rId19">
        <w:r w:rsidR="008124B9">
          <w:rPr>
            <w:color w:val="1155CC"/>
            <w:sz w:val="24"/>
            <w:szCs w:val="24"/>
            <w:u w:val="single"/>
          </w:rPr>
          <w:t xml:space="preserve">41 CFR </w:t>
        </w:r>
      </w:hyperlink>
      <w:hyperlink r:id="rId20">
        <w:r w:rsidR="008124B9">
          <w:rPr>
            <w:color w:val="1155CC"/>
            <w:sz w:val="24"/>
            <w:szCs w:val="24"/>
            <w:u w:val="single"/>
          </w:rPr>
          <w:t>§</w:t>
        </w:r>
      </w:hyperlink>
      <w:hyperlink r:id="rId21">
        <w:r w:rsidR="008124B9">
          <w:rPr>
            <w:color w:val="1155CC"/>
            <w:sz w:val="24"/>
            <w:szCs w:val="24"/>
            <w:u w:val="single"/>
          </w:rPr>
          <w:t xml:space="preserve"> 102-3.120</w:t>
        </w:r>
      </w:hyperlink>
      <w:r>
        <w:rPr>
          <w:color w:val="EE0000"/>
          <w:sz w:val="24"/>
          <w:szCs w:val="24"/>
        </w:rPr>
        <w:t>].</w:t>
      </w:r>
    </w:p>
    <w:p w14:paraId="095EEB11" w14:textId="77777777" w:rsidR="008124B9" w:rsidRDefault="00770287">
      <w:pPr>
        <w:numPr>
          <w:ilvl w:val="0"/>
          <w:numId w:val="2"/>
        </w:numPr>
        <w:pBdr>
          <w:top w:val="nil"/>
          <w:left w:val="nil"/>
          <w:bottom w:val="nil"/>
          <w:right w:val="nil"/>
          <w:between w:val="nil"/>
        </w:pBdr>
        <w:spacing w:before="120" w:after="0" w:line="240" w:lineRule="auto"/>
        <w:rPr>
          <w:color w:val="000000"/>
          <w:sz w:val="24"/>
          <w:szCs w:val="24"/>
        </w:rPr>
      </w:pPr>
      <w:r>
        <w:rPr>
          <w:b/>
          <w:bCs/>
          <w:sz w:val="24"/>
          <w:szCs w:val="24"/>
        </w:rPr>
        <w:t>Estimated Number and Frequency of Meetings</w:t>
      </w:r>
      <w:r>
        <w:rPr>
          <w:sz w:val="24"/>
          <w:szCs w:val="24"/>
        </w:rPr>
        <w:t xml:space="preserve">. </w:t>
      </w:r>
      <w:r>
        <w:rPr>
          <w:color w:val="000000"/>
          <w:sz w:val="24"/>
          <w:szCs w:val="24"/>
        </w:rPr>
        <w:t>The estimated number and frequency (e.g., at a minimum of twice per year) of the advisory committee's</w:t>
      </w:r>
      <w:r>
        <w:rPr>
          <w:b/>
          <w:bCs/>
          <w:color w:val="000000"/>
          <w:sz w:val="24"/>
          <w:szCs w:val="24"/>
        </w:rPr>
        <w:t xml:space="preserve"> </w:t>
      </w:r>
      <w:r>
        <w:rPr>
          <w:color w:val="000000"/>
          <w:sz w:val="24"/>
          <w:szCs w:val="24"/>
        </w:rPr>
        <w:t>meetings, which should be consistent with the committee’s authority. </w:t>
      </w:r>
    </w:p>
    <w:p w14:paraId="196CB030" w14:textId="77777777" w:rsidR="008124B9" w:rsidRDefault="00770287">
      <w:pPr>
        <w:numPr>
          <w:ilvl w:val="0"/>
          <w:numId w:val="2"/>
        </w:numPr>
        <w:pBdr>
          <w:top w:val="nil"/>
          <w:left w:val="nil"/>
          <w:bottom w:val="nil"/>
          <w:right w:val="nil"/>
          <w:between w:val="nil"/>
        </w:pBdr>
        <w:spacing w:before="120" w:after="0" w:line="240" w:lineRule="auto"/>
        <w:rPr>
          <w:color w:val="000000"/>
          <w:sz w:val="24"/>
          <w:szCs w:val="24"/>
        </w:rPr>
      </w:pPr>
      <w:r>
        <w:rPr>
          <w:b/>
          <w:bCs/>
          <w:sz w:val="24"/>
          <w:szCs w:val="24"/>
        </w:rPr>
        <w:t>Duration</w:t>
      </w:r>
      <w:r>
        <w:rPr>
          <w:sz w:val="24"/>
          <w:szCs w:val="24"/>
        </w:rPr>
        <w:t xml:space="preserve">. </w:t>
      </w:r>
      <w:r>
        <w:rPr>
          <w:color w:val="000000"/>
          <w:sz w:val="24"/>
          <w:szCs w:val="24"/>
        </w:rPr>
        <w:t xml:space="preserve">The </w:t>
      </w:r>
      <w:proofErr w:type="gramStart"/>
      <w:r>
        <w:rPr>
          <w:color w:val="000000"/>
          <w:sz w:val="24"/>
          <w:szCs w:val="24"/>
        </w:rPr>
        <w:t>period of time</w:t>
      </w:r>
      <w:proofErr w:type="gramEnd"/>
      <w:r>
        <w:rPr>
          <w:color w:val="000000"/>
          <w:sz w:val="24"/>
          <w:szCs w:val="24"/>
        </w:rPr>
        <w:t xml:space="preserve"> necessary</w:t>
      </w:r>
      <w:r>
        <w:rPr>
          <w:b/>
          <w:bCs/>
          <w:color w:val="000000"/>
          <w:sz w:val="24"/>
          <w:szCs w:val="24"/>
        </w:rPr>
        <w:t xml:space="preserve"> </w:t>
      </w:r>
      <w:r>
        <w:rPr>
          <w:color w:val="000000"/>
          <w:sz w:val="24"/>
          <w:szCs w:val="24"/>
        </w:rPr>
        <w:t xml:space="preserve">to carry out the advisory committee's purpose(s). If the committee is expected to continue beyond the typical two-year </w:t>
      </w:r>
      <w:r>
        <w:rPr>
          <w:sz w:val="24"/>
          <w:szCs w:val="24"/>
        </w:rPr>
        <w:t>period, state</w:t>
      </w:r>
      <w:r>
        <w:rPr>
          <w:color w:val="000000"/>
          <w:sz w:val="24"/>
          <w:szCs w:val="24"/>
        </w:rPr>
        <w:t>: “The duration of the advisory committee is continuing, subject to the Termination section below.” </w:t>
      </w:r>
    </w:p>
    <w:p w14:paraId="79AFE013" w14:textId="77777777" w:rsidR="008124B9" w:rsidRDefault="00770287">
      <w:pPr>
        <w:numPr>
          <w:ilvl w:val="0"/>
          <w:numId w:val="2"/>
        </w:numPr>
        <w:pBdr>
          <w:top w:val="nil"/>
          <w:left w:val="nil"/>
          <w:bottom w:val="nil"/>
          <w:right w:val="nil"/>
          <w:between w:val="nil"/>
        </w:pBdr>
        <w:spacing w:before="120" w:after="0" w:line="240" w:lineRule="auto"/>
        <w:rPr>
          <w:color w:val="000000"/>
          <w:sz w:val="24"/>
          <w:szCs w:val="24"/>
        </w:rPr>
      </w:pPr>
      <w:r>
        <w:rPr>
          <w:b/>
          <w:bCs/>
          <w:sz w:val="24"/>
          <w:szCs w:val="24"/>
        </w:rPr>
        <w:t>Termination</w:t>
      </w:r>
      <w:r>
        <w:rPr>
          <w:sz w:val="24"/>
          <w:szCs w:val="24"/>
        </w:rPr>
        <w:t xml:space="preserve">. </w:t>
      </w:r>
      <w:r>
        <w:rPr>
          <w:color w:val="000000"/>
          <w:sz w:val="24"/>
          <w:szCs w:val="24"/>
        </w:rPr>
        <w:t xml:space="preserve">The planned termination </w:t>
      </w:r>
      <w:proofErr w:type="gramStart"/>
      <w:r>
        <w:rPr>
          <w:color w:val="000000"/>
          <w:sz w:val="24"/>
          <w:szCs w:val="24"/>
        </w:rPr>
        <w:t>date,</w:t>
      </w:r>
      <w:proofErr w:type="gramEnd"/>
      <w:r>
        <w:rPr>
          <w:color w:val="000000"/>
          <w:sz w:val="24"/>
          <w:szCs w:val="24"/>
        </w:rPr>
        <w:t xml:space="preserve"> </w:t>
      </w:r>
      <w:proofErr w:type="gramStart"/>
      <w:r>
        <w:rPr>
          <w:color w:val="000000"/>
          <w:sz w:val="24"/>
          <w:szCs w:val="24"/>
        </w:rPr>
        <w:t>if</w:t>
      </w:r>
      <w:proofErr w:type="gramEnd"/>
      <w:r>
        <w:rPr>
          <w:color w:val="000000"/>
          <w:sz w:val="24"/>
          <w:szCs w:val="24"/>
        </w:rPr>
        <w:t xml:space="preserve"> less than two years from the date of establishment of the advisory committee. If a committee is included in the biennial Continuation Executive Order (EO), state: “Unless continued by the President, the advisory committee will terminate on [insert date per most recent Continuation EO], consistent with [insert most recent Continuation EO and issue date].</w:t>
      </w:r>
      <w:r>
        <w:rPr>
          <w:sz w:val="24"/>
          <w:szCs w:val="24"/>
        </w:rPr>
        <w:t>”</w:t>
      </w:r>
    </w:p>
    <w:p w14:paraId="6B343368" w14:textId="77777777" w:rsidR="008124B9" w:rsidRDefault="00770287">
      <w:pPr>
        <w:numPr>
          <w:ilvl w:val="0"/>
          <w:numId w:val="2"/>
        </w:numPr>
        <w:pBdr>
          <w:top w:val="nil"/>
          <w:left w:val="nil"/>
          <w:bottom w:val="nil"/>
          <w:right w:val="nil"/>
          <w:between w:val="nil"/>
        </w:pBdr>
        <w:spacing w:before="120" w:after="0" w:line="240" w:lineRule="auto"/>
        <w:rPr>
          <w:color w:val="000000"/>
          <w:sz w:val="24"/>
          <w:szCs w:val="24"/>
        </w:rPr>
      </w:pPr>
      <w:r>
        <w:rPr>
          <w:b/>
          <w:bCs/>
          <w:sz w:val="24"/>
          <w:szCs w:val="24"/>
        </w:rPr>
        <w:t>Membership and Designation</w:t>
      </w:r>
      <w:r>
        <w:rPr>
          <w:sz w:val="24"/>
          <w:szCs w:val="24"/>
        </w:rPr>
        <w:t>.</w:t>
      </w:r>
      <w:r>
        <w:rPr>
          <w:color w:val="000000"/>
          <w:sz w:val="24"/>
          <w:szCs w:val="24"/>
        </w:rPr>
        <w:t> The estimated number of advisory committee members</w:t>
      </w:r>
      <w:r>
        <w:rPr>
          <w:b/>
          <w:bCs/>
          <w:color w:val="000000"/>
          <w:sz w:val="24"/>
          <w:szCs w:val="24"/>
        </w:rPr>
        <w:t xml:space="preserve"> </w:t>
      </w:r>
      <w:r>
        <w:rPr>
          <w:color w:val="000000"/>
          <w:sz w:val="24"/>
          <w:szCs w:val="24"/>
        </w:rPr>
        <w:t xml:space="preserve">(membership), the expertise or experience required (or groups to be represented), and the anticipated advisory committee member designations. Clearly state whether the committee will or may be composed of Special Government Employees, Representative </w:t>
      </w:r>
      <w:r>
        <w:rPr>
          <w:sz w:val="24"/>
          <w:szCs w:val="24"/>
        </w:rPr>
        <w:t>members</w:t>
      </w:r>
      <w:r>
        <w:rPr>
          <w:color w:val="000000"/>
          <w:sz w:val="24"/>
          <w:szCs w:val="24"/>
        </w:rPr>
        <w:t>, Regular Government Employees, or members from several categories. Identify the member appointing authority and specify if the members serve at the discretion of the appointing authority or are require</w:t>
      </w:r>
      <w:r>
        <w:rPr>
          <w:color w:val="000000"/>
          <w:sz w:val="24"/>
          <w:szCs w:val="24"/>
        </w:rPr>
        <w:t>d by statute or Presidential Directive</w:t>
      </w:r>
      <w:r>
        <w:rPr>
          <w:sz w:val="24"/>
          <w:szCs w:val="24"/>
        </w:rPr>
        <w:t>.</w:t>
      </w:r>
    </w:p>
    <w:p w14:paraId="4CA51C62" w14:textId="77777777" w:rsidR="008124B9" w:rsidRDefault="00770287">
      <w:pPr>
        <w:numPr>
          <w:ilvl w:val="0"/>
          <w:numId w:val="2"/>
        </w:numPr>
        <w:pBdr>
          <w:top w:val="nil"/>
          <w:left w:val="nil"/>
          <w:bottom w:val="nil"/>
          <w:right w:val="nil"/>
          <w:between w:val="nil"/>
        </w:pBdr>
        <w:spacing w:before="120" w:after="0" w:line="240" w:lineRule="auto"/>
        <w:rPr>
          <w:color w:val="000000"/>
          <w:sz w:val="24"/>
          <w:szCs w:val="24"/>
        </w:rPr>
      </w:pPr>
      <w:r>
        <w:rPr>
          <w:b/>
          <w:bCs/>
          <w:sz w:val="24"/>
          <w:szCs w:val="24"/>
        </w:rPr>
        <w:t>Subcommittees</w:t>
      </w:r>
      <w:r>
        <w:rPr>
          <w:sz w:val="24"/>
          <w:szCs w:val="24"/>
        </w:rPr>
        <w:t xml:space="preserve">. </w:t>
      </w:r>
      <w:r>
        <w:rPr>
          <w:color w:val="000000"/>
          <w:sz w:val="24"/>
          <w:szCs w:val="24"/>
        </w:rPr>
        <w:t xml:space="preserve">Whether subcommittees may be created and by whom. </w:t>
      </w:r>
      <w:proofErr w:type="gramStart"/>
      <w:r>
        <w:rPr>
          <w:sz w:val="24"/>
          <w:szCs w:val="24"/>
        </w:rPr>
        <w:t>S</w:t>
      </w:r>
      <w:r>
        <w:rPr>
          <w:color w:val="000000"/>
          <w:sz w:val="24"/>
          <w:szCs w:val="24"/>
        </w:rPr>
        <w:t>tate</w:t>
      </w:r>
      <w:proofErr w:type="gramEnd"/>
      <w:r>
        <w:rPr>
          <w:color w:val="000000"/>
          <w:sz w:val="24"/>
          <w:szCs w:val="24"/>
        </w:rPr>
        <w:t xml:space="preserve"> that subcommittees must report back to the parent </w:t>
      </w:r>
      <w:proofErr w:type="gramStart"/>
      <w:r>
        <w:rPr>
          <w:color w:val="000000"/>
          <w:sz w:val="24"/>
          <w:szCs w:val="24"/>
        </w:rPr>
        <w:t>committee, and</w:t>
      </w:r>
      <w:proofErr w:type="gramEnd"/>
      <w:r>
        <w:rPr>
          <w:color w:val="000000"/>
          <w:sz w:val="24"/>
          <w:szCs w:val="24"/>
        </w:rPr>
        <w:t xml:space="preserve"> must not provide advice or work products directly to the agency or any other Federal officer.</w:t>
      </w:r>
    </w:p>
    <w:p w14:paraId="753EC253" w14:textId="77777777" w:rsidR="008124B9" w:rsidRDefault="00770287" w:rsidP="00593910">
      <w:pPr>
        <w:pBdr>
          <w:top w:val="nil"/>
          <w:left w:val="nil"/>
          <w:bottom w:val="nil"/>
          <w:right w:val="nil"/>
          <w:between w:val="nil"/>
        </w:pBdr>
        <w:spacing w:before="120" w:after="0" w:line="240" w:lineRule="auto"/>
        <w:ind w:left="720" w:right="-360"/>
        <w:rPr>
          <w:color w:val="EE0000"/>
          <w:sz w:val="24"/>
          <w:szCs w:val="24"/>
        </w:rPr>
      </w:pPr>
      <w:r>
        <w:rPr>
          <w:color w:val="EE0000"/>
          <w:sz w:val="24"/>
          <w:szCs w:val="24"/>
        </w:rPr>
        <w:t xml:space="preserve">[Including a </w:t>
      </w:r>
      <w:r>
        <w:rPr>
          <w:b/>
          <w:bCs/>
          <w:color w:val="EE0000"/>
          <w:sz w:val="24"/>
          <w:szCs w:val="24"/>
        </w:rPr>
        <w:t>Recordkeeping</w:t>
      </w:r>
      <w:r>
        <w:rPr>
          <w:color w:val="EE0000"/>
          <w:sz w:val="24"/>
          <w:szCs w:val="24"/>
        </w:rPr>
        <w:t xml:space="preserve"> section is optional. If included, please reference </w:t>
      </w:r>
      <w:hyperlink r:id="rId22">
        <w:r w:rsidR="008124B9">
          <w:rPr>
            <w:color w:val="1155CC"/>
            <w:sz w:val="24"/>
            <w:szCs w:val="24"/>
            <w:u w:val="single"/>
          </w:rPr>
          <w:t>GRS 6.2</w:t>
        </w:r>
      </w:hyperlink>
      <w:r>
        <w:rPr>
          <w:color w:val="EE0000"/>
          <w:sz w:val="24"/>
          <w:szCs w:val="24"/>
        </w:rPr>
        <w:t>, any relevant agency schedules, and whether the committee is subject to the Federal Records Act or Presidential Records Act].</w:t>
      </w:r>
    </w:p>
    <w:p w14:paraId="03B1EB7C" w14:textId="089CAC5F" w:rsidR="008124B9" w:rsidRDefault="00770287">
      <w:pPr>
        <w:numPr>
          <w:ilvl w:val="0"/>
          <w:numId w:val="2"/>
        </w:numPr>
        <w:pBdr>
          <w:top w:val="nil"/>
          <w:left w:val="nil"/>
          <w:bottom w:val="nil"/>
          <w:right w:val="nil"/>
          <w:between w:val="nil"/>
        </w:pBdr>
        <w:spacing w:before="120" w:after="0" w:line="240" w:lineRule="auto"/>
        <w:rPr>
          <w:color w:val="000000"/>
          <w:sz w:val="24"/>
          <w:szCs w:val="24"/>
        </w:rPr>
      </w:pPr>
      <w:r>
        <w:rPr>
          <w:b/>
          <w:bCs/>
          <w:color w:val="000000"/>
          <w:sz w:val="24"/>
          <w:szCs w:val="24"/>
        </w:rPr>
        <w:t> Filing Date</w:t>
      </w:r>
      <w:r>
        <w:rPr>
          <w:color w:val="000000"/>
          <w:sz w:val="24"/>
          <w:szCs w:val="24"/>
        </w:rPr>
        <w:t>.</w:t>
      </w:r>
      <w:r w:rsidR="003B7104">
        <w:rPr>
          <w:color w:val="000000"/>
          <w:sz w:val="24"/>
          <w:szCs w:val="24"/>
        </w:rPr>
        <w:t xml:space="preserve"> </w:t>
      </w:r>
      <w:r>
        <w:rPr>
          <w:color w:val="000000"/>
          <w:sz w:val="24"/>
          <w:szCs w:val="24"/>
        </w:rPr>
        <w:t xml:space="preserve">The date the charter is filed (filing date) in accordance with </w:t>
      </w:r>
      <w:hyperlink r:id="rId23">
        <w:r w:rsidR="008124B9">
          <w:rPr>
            <w:color w:val="1155CC"/>
            <w:sz w:val="24"/>
            <w:szCs w:val="24"/>
            <w:u w:val="single"/>
          </w:rPr>
          <w:t>41 CFR § 102-3.70</w:t>
        </w:r>
      </w:hyperlink>
      <w:r>
        <w:rPr>
          <w:color w:val="000000"/>
          <w:sz w:val="24"/>
          <w:szCs w:val="24"/>
        </w:rPr>
        <w:t>. For committees established by the President the filing date is the date the charter is filed with CMS.</w:t>
      </w:r>
    </w:p>
    <w:p w14:paraId="5BA394F0" w14:textId="77777777" w:rsidR="008124B9" w:rsidRDefault="008124B9">
      <w:pPr>
        <w:pBdr>
          <w:top w:val="nil"/>
          <w:left w:val="nil"/>
          <w:bottom w:val="nil"/>
          <w:right w:val="nil"/>
          <w:between w:val="nil"/>
        </w:pBdr>
        <w:spacing w:before="120" w:after="0" w:line="240" w:lineRule="auto"/>
        <w:rPr>
          <w:sz w:val="24"/>
          <w:szCs w:val="24"/>
        </w:rPr>
      </w:pPr>
    </w:p>
    <w:p w14:paraId="2D95B16D" w14:textId="77777777" w:rsidR="008124B9" w:rsidRDefault="008124B9">
      <w:pPr>
        <w:pBdr>
          <w:top w:val="nil"/>
          <w:left w:val="nil"/>
          <w:bottom w:val="nil"/>
          <w:right w:val="nil"/>
          <w:between w:val="nil"/>
        </w:pBdr>
        <w:spacing w:before="120" w:after="0" w:line="240" w:lineRule="auto"/>
        <w:rPr>
          <w:sz w:val="24"/>
          <w:szCs w:val="24"/>
        </w:rPr>
      </w:pPr>
    </w:p>
    <w:p w14:paraId="62C46E33" w14:textId="77777777" w:rsidR="008124B9" w:rsidRPr="00593910" w:rsidRDefault="00770287" w:rsidP="00593910">
      <w:pPr>
        <w:pStyle w:val="Heading2"/>
        <w:rPr>
          <w:color w:val="1F497D" w:themeColor="text2"/>
        </w:rPr>
      </w:pPr>
      <w:r w:rsidRPr="00593910">
        <w:rPr>
          <w:color w:val="1F497D" w:themeColor="text2"/>
        </w:rPr>
        <w:lastRenderedPageBreak/>
        <w:t>Consultation with GSA:</w:t>
      </w:r>
    </w:p>
    <w:p w14:paraId="24C47EEF" w14:textId="77777777" w:rsidR="008124B9" w:rsidRDefault="00770287">
      <w:pPr>
        <w:spacing w:before="120" w:after="0" w:line="240" w:lineRule="auto"/>
        <w:ind w:right="-360"/>
        <w:rPr>
          <w:sz w:val="24"/>
          <w:szCs w:val="24"/>
        </w:rPr>
      </w:pPr>
      <w:r>
        <w:rPr>
          <w:sz w:val="24"/>
          <w:szCs w:val="24"/>
        </w:rPr>
        <w:t xml:space="preserve">Agencies are required to consult with CMS when they (1) establish, renew, reestablish, or merge a </w:t>
      </w:r>
      <w:r>
        <w:rPr>
          <w:sz w:val="24"/>
          <w:szCs w:val="24"/>
          <w:u w:val="single"/>
        </w:rPr>
        <w:t>discretionary</w:t>
      </w:r>
      <w:r>
        <w:rPr>
          <w:sz w:val="24"/>
          <w:szCs w:val="24"/>
        </w:rPr>
        <w:t xml:space="preserve"> advisory committee; and (2) establish a subcommittee under a discretionary committee that is not made up entirely of members of a parent advisory committee. Agencies are highly encouraged to consult with CMS for </w:t>
      </w:r>
      <w:r>
        <w:rPr>
          <w:sz w:val="24"/>
          <w:szCs w:val="24"/>
          <w:u w:val="single"/>
        </w:rPr>
        <w:t>non-discretionary</w:t>
      </w:r>
      <w:r>
        <w:rPr>
          <w:sz w:val="24"/>
          <w:szCs w:val="24"/>
        </w:rPr>
        <w:t xml:space="preserve"> advisory committees. For more guidance, see the </w:t>
      </w:r>
      <w:r>
        <w:rPr>
          <w:i/>
          <w:iCs/>
          <w:sz w:val="24"/>
          <w:szCs w:val="24"/>
        </w:rPr>
        <w:t>Charter Consultation Flowchart</w:t>
      </w:r>
      <w:r>
        <w:rPr>
          <w:sz w:val="24"/>
          <w:szCs w:val="24"/>
        </w:rPr>
        <w:t xml:space="preserve"> and </w:t>
      </w:r>
      <w:hyperlink r:id="rId24" w:anchor="p-102-3.60(a)">
        <w:r w:rsidR="008124B9">
          <w:rPr>
            <w:color w:val="1155CC"/>
            <w:sz w:val="24"/>
            <w:szCs w:val="24"/>
            <w:u w:val="single"/>
          </w:rPr>
          <w:t>41 CFR § 102-3.60</w:t>
        </w:r>
      </w:hyperlink>
      <w:r>
        <w:rPr>
          <w:sz w:val="24"/>
          <w:szCs w:val="24"/>
        </w:rPr>
        <w:t>.</w:t>
      </w:r>
    </w:p>
    <w:p w14:paraId="21465996" w14:textId="77777777" w:rsidR="008124B9" w:rsidRDefault="00770287">
      <w:pPr>
        <w:pBdr>
          <w:top w:val="nil"/>
          <w:left w:val="nil"/>
          <w:bottom w:val="nil"/>
          <w:right w:val="nil"/>
          <w:between w:val="nil"/>
        </w:pBdr>
        <w:spacing w:before="120" w:after="0" w:line="240" w:lineRule="auto"/>
        <w:ind w:right="-360"/>
        <w:rPr>
          <w:sz w:val="24"/>
          <w:szCs w:val="24"/>
          <w:u w:val="single"/>
        </w:rPr>
      </w:pPr>
      <w:r>
        <w:rPr>
          <w:sz w:val="24"/>
          <w:szCs w:val="24"/>
          <w:u w:val="single"/>
        </w:rPr>
        <w:t>Discretionary Advisory Committee Consultations:</w:t>
      </w:r>
    </w:p>
    <w:p w14:paraId="22E7A344" w14:textId="77777777" w:rsidR="008124B9" w:rsidRDefault="00770287">
      <w:pPr>
        <w:pBdr>
          <w:top w:val="nil"/>
          <w:left w:val="nil"/>
          <w:bottom w:val="nil"/>
          <w:right w:val="nil"/>
          <w:between w:val="nil"/>
        </w:pBdr>
        <w:spacing w:after="0" w:line="240" w:lineRule="auto"/>
        <w:rPr>
          <w:color w:val="000000"/>
          <w:sz w:val="24"/>
          <w:szCs w:val="24"/>
        </w:rPr>
      </w:pPr>
      <w:r>
        <w:rPr>
          <w:color w:val="000000"/>
          <w:sz w:val="24"/>
          <w:szCs w:val="24"/>
        </w:rPr>
        <w:t>To</w:t>
      </w:r>
      <w:r>
        <w:rPr>
          <w:b/>
          <w:bCs/>
          <w:color w:val="000000"/>
          <w:sz w:val="24"/>
          <w:szCs w:val="24"/>
        </w:rPr>
        <w:t xml:space="preserve"> </w:t>
      </w:r>
      <w:r>
        <w:rPr>
          <w:color w:val="000000"/>
          <w:sz w:val="24"/>
          <w:szCs w:val="24"/>
        </w:rPr>
        <w:t>establish, renew, reestablish, or merge a discretionary committee</w:t>
      </w:r>
      <w:r>
        <w:rPr>
          <w:b/>
          <w:bCs/>
          <w:color w:val="000000"/>
          <w:sz w:val="24"/>
          <w:szCs w:val="24"/>
        </w:rPr>
        <w:t xml:space="preserve"> </w:t>
      </w:r>
      <w:r>
        <w:rPr>
          <w:color w:val="000000"/>
          <w:sz w:val="24"/>
          <w:szCs w:val="24"/>
        </w:rPr>
        <w:t xml:space="preserve">the CMO must first consult with CMS and </w:t>
      </w:r>
      <w:r>
        <w:rPr>
          <w:sz w:val="24"/>
          <w:szCs w:val="24"/>
        </w:rPr>
        <w:t>provide the following materials as part of the consultation</w:t>
      </w:r>
      <w:r>
        <w:rPr>
          <w:color w:val="000000"/>
          <w:sz w:val="24"/>
          <w:szCs w:val="24"/>
        </w:rPr>
        <w:t>:</w:t>
      </w:r>
    </w:p>
    <w:p w14:paraId="2B6F1E07" w14:textId="77777777" w:rsidR="008124B9" w:rsidRDefault="00770287">
      <w:pPr>
        <w:numPr>
          <w:ilvl w:val="0"/>
          <w:numId w:val="6"/>
        </w:numPr>
        <w:pBdr>
          <w:top w:val="nil"/>
          <w:left w:val="nil"/>
          <w:bottom w:val="nil"/>
          <w:right w:val="nil"/>
          <w:between w:val="nil"/>
        </w:pBdr>
        <w:spacing w:after="0" w:line="240" w:lineRule="auto"/>
        <w:rPr>
          <w:sz w:val="24"/>
          <w:szCs w:val="24"/>
        </w:rPr>
      </w:pPr>
      <w:r>
        <w:rPr>
          <w:i/>
          <w:iCs/>
          <w:sz w:val="24"/>
          <w:szCs w:val="24"/>
        </w:rPr>
        <w:t xml:space="preserve">Advisory </w:t>
      </w:r>
      <w:r>
        <w:rPr>
          <w:i/>
          <w:iCs/>
          <w:color w:val="000000"/>
          <w:sz w:val="24"/>
          <w:szCs w:val="24"/>
        </w:rPr>
        <w:t>Committee charter</w:t>
      </w:r>
      <w:r>
        <w:rPr>
          <w:color w:val="000000"/>
          <w:sz w:val="24"/>
          <w:szCs w:val="24"/>
        </w:rPr>
        <w:t xml:space="preserve">. </w:t>
      </w:r>
      <w:r>
        <w:rPr>
          <w:sz w:val="24"/>
          <w:szCs w:val="24"/>
        </w:rPr>
        <w:t xml:space="preserve">If it is a charter amendment or a renewal, </w:t>
      </w:r>
      <w:proofErr w:type="gramStart"/>
      <w:r>
        <w:rPr>
          <w:sz w:val="24"/>
          <w:szCs w:val="24"/>
        </w:rPr>
        <w:t>reestablishment</w:t>
      </w:r>
      <w:proofErr w:type="gramEnd"/>
      <w:r>
        <w:rPr>
          <w:sz w:val="24"/>
          <w:szCs w:val="24"/>
        </w:rPr>
        <w:t xml:space="preserve">, or merger consultation, include a </w:t>
      </w:r>
      <w:proofErr w:type="gramStart"/>
      <w:r>
        <w:rPr>
          <w:sz w:val="24"/>
          <w:szCs w:val="24"/>
        </w:rPr>
        <w:t>redline</w:t>
      </w:r>
      <w:proofErr w:type="gramEnd"/>
      <w:r>
        <w:rPr>
          <w:sz w:val="24"/>
          <w:szCs w:val="24"/>
        </w:rPr>
        <w:t xml:space="preserve"> version showing all changes/comments, as appropriate. </w:t>
      </w:r>
    </w:p>
    <w:p w14:paraId="60DFC077" w14:textId="77777777" w:rsidR="008124B9" w:rsidRDefault="00770287">
      <w:pPr>
        <w:numPr>
          <w:ilvl w:val="0"/>
          <w:numId w:val="6"/>
        </w:numPr>
        <w:pBdr>
          <w:top w:val="nil"/>
          <w:left w:val="nil"/>
          <w:bottom w:val="nil"/>
          <w:right w:val="nil"/>
          <w:between w:val="nil"/>
        </w:pBdr>
        <w:spacing w:after="0" w:line="240" w:lineRule="auto"/>
        <w:rPr>
          <w:sz w:val="24"/>
          <w:szCs w:val="24"/>
        </w:rPr>
      </w:pPr>
      <w:r>
        <w:rPr>
          <w:i/>
          <w:iCs/>
          <w:sz w:val="24"/>
          <w:szCs w:val="24"/>
        </w:rPr>
        <w:t>Most recently filed charter</w:t>
      </w:r>
      <w:r>
        <w:rPr>
          <w:b/>
          <w:bCs/>
          <w:sz w:val="24"/>
          <w:szCs w:val="24"/>
        </w:rPr>
        <w:t xml:space="preserve"> </w:t>
      </w:r>
      <w:r>
        <w:rPr>
          <w:sz w:val="24"/>
          <w:szCs w:val="24"/>
        </w:rPr>
        <w:t>(or charters if it is a merger), as applicable.</w:t>
      </w:r>
    </w:p>
    <w:p w14:paraId="02E791D7" w14:textId="77777777" w:rsidR="008124B9" w:rsidRDefault="00770287">
      <w:pPr>
        <w:numPr>
          <w:ilvl w:val="0"/>
          <w:numId w:val="6"/>
        </w:numPr>
        <w:pBdr>
          <w:top w:val="nil"/>
          <w:left w:val="nil"/>
          <w:bottom w:val="nil"/>
          <w:right w:val="nil"/>
          <w:between w:val="nil"/>
        </w:pBdr>
        <w:spacing w:after="0" w:line="240" w:lineRule="auto"/>
        <w:rPr>
          <w:sz w:val="24"/>
          <w:szCs w:val="24"/>
        </w:rPr>
      </w:pPr>
      <w:r>
        <w:rPr>
          <w:i/>
          <w:iCs/>
          <w:sz w:val="24"/>
          <w:szCs w:val="24"/>
        </w:rPr>
        <w:t>Advisory Committee authority</w:t>
      </w:r>
      <w:r>
        <w:rPr>
          <w:sz w:val="24"/>
          <w:szCs w:val="24"/>
        </w:rPr>
        <w:t>. This may be an agency memo, statute, or Presidential Directive.</w:t>
      </w:r>
    </w:p>
    <w:p w14:paraId="08D29B35" w14:textId="009D62BA" w:rsidR="008124B9" w:rsidRDefault="00770287">
      <w:pPr>
        <w:numPr>
          <w:ilvl w:val="0"/>
          <w:numId w:val="6"/>
        </w:numPr>
        <w:pBdr>
          <w:top w:val="nil"/>
          <w:left w:val="nil"/>
          <w:bottom w:val="nil"/>
          <w:right w:val="nil"/>
          <w:between w:val="nil"/>
        </w:pBdr>
        <w:spacing w:after="0" w:line="240" w:lineRule="auto"/>
        <w:rPr>
          <w:sz w:val="26"/>
          <w:szCs w:val="26"/>
        </w:rPr>
      </w:pPr>
      <w:r w:rsidRPr="00593910">
        <w:rPr>
          <w:color w:val="FFFFFF"/>
          <w:sz w:val="24"/>
          <w:szCs w:val="24"/>
          <w:highlight w:val="darkBlue"/>
          <w:shd w:val="clear" w:color="auto" w:fill="0563C1"/>
        </w:rPr>
        <w:t>New Requirement</w:t>
      </w:r>
      <w:r w:rsidRPr="00593910">
        <w:rPr>
          <w:rFonts w:ascii="Arial Unicode MS" w:eastAsia="Arial Unicode MS" w:hAnsi="Arial Unicode MS" w:cs="Arial Unicode MS"/>
          <w:b/>
          <w:bCs/>
          <w:color w:val="FFFFFF"/>
          <w:sz w:val="24"/>
          <w:szCs w:val="24"/>
          <w:highlight w:val="darkBlue"/>
          <w:shd w:val="clear" w:color="auto" w:fill="0563C1"/>
        </w:rPr>
        <w:t>⏵</w:t>
      </w:r>
      <w:r>
        <w:rPr>
          <w:b/>
          <w:bCs/>
          <w:color w:val="000000"/>
          <w:sz w:val="24"/>
          <w:szCs w:val="24"/>
        </w:rPr>
        <w:t xml:space="preserve"> </w:t>
      </w:r>
      <w:r>
        <w:rPr>
          <w:i/>
          <w:iCs/>
          <w:color w:val="000000"/>
          <w:sz w:val="24"/>
          <w:szCs w:val="24"/>
        </w:rPr>
        <w:t>Public Interest Determination</w:t>
      </w:r>
      <w:r>
        <w:rPr>
          <w:color w:val="000000"/>
          <w:sz w:val="24"/>
          <w:szCs w:val="24"/>
        </w:rPr>
        <w:t xml:space="preserve"> (PID). </w:t>
      </w:r>
      <w:r w:rsidRPr="00593910">
        <w:rPr>
          <w:rFonts w:ascii="Segoe UI Symbol" w:eastAsia="Arial Unicode MS" w:hAnsi="Segoe UI Symbol" w:cs="Segoe UI Symbol"/>
          <w:color w:val="FFFFFF"/>
          <w:sz w:val="24"/>
          <w:szCs w:val="24"/>
          <w:highlight w:val="darkBlue"/>
          <w:shd w:val="clear" w:color="auto" w:fill="0563C1"/>
        </w:rPr>
        <w:t>⏴</w:t>
      </w:r>
      <w:r w:rsidRPr="00593910">
        <w:rPr>
          <w:rFonts w:asciiTheme="majorHAnsi" w:eastAsia="Quattrocento Sans" w:hAnsiTheme="majorHAnsi" w:cstheme="majorHAnsi"/>
          <w:color w:val="FFFFFF"/>
          <w:sz w:val="24"/>
          <w:szCs w:val="24"/>
          <w:highlight w:val="darkBlue"/>
          <w:shd w:val="clear" w:color="auto" w:fill="0563C1"/>
        </w:rPr>
        <w:t>Contact your CMS Desk Officer</w:t>
      </w:r>
      <w:r w:rsidR="00593910" w:rsidRPr="00593910">
        <w:rPr>
          <w:rFonts w:asciiTheme="majorHAnsi" w:eastAsia="Quattrocento Sans" w:hAnsiTheme="majorHAnsi" w:cstheme="majorHAnsi"/>
          <w:color w:val="FFFFFF"/>
          <w:sz w:val="24"/>
          <w:szCs w:val="24"/>
          <w:highlight w:val="darkBlue"/>
          <w:shd w:val="clear" w:color="auto" w:fill="0563C1"/>
        </w:rPr>
        <w:t xml:space="preserve"> </w:t>
      </w:r>
      <w:r w:rsidRPr="00593910">
        <w:rPr>
          <w:rFonts w:asciiTheme="majorHAnsi" w:eastAsia="Quattrocento Sans" w:hAnsiTheme="majorHAnsi" w:cstheme="majorHAnsi"/>
          <w:color w:val="FFFFFF"/>
          <w:sz w:val="24"/>
          <w:szCs w:val="24"/>
          <w:highlight w:val="darkBlue"/>
          <w:shd w:val="clear" w:color="auto" w:fill="0563C1"/>
        </w:rPr>
        <w:t>for the form</w:t>
      </w:r>
      <w:r>
        <w:rPr>
          <w:color w:val="000000"/>
          <w:sz w:val="24"/>
          <w:szCs w:val="24"/>
        </w:rPr>
        <w:t>. The PID must be approved by the head</w:t>
      </w:r>
      <w:r>
        <w:rPr>
          <w:sz w:val="24"/>
          <w:szCs w:val="24"/>
        </w:rPr>
        <w:t xml:space="preserve"> and provided to both the Secretariat and OMB (contact your CMS Desk Officer for details.)</w:t>
      </w:r>
    </w:p>
    <w:p w14:paraId="1298F948" w14:textId="77777777" w:rsidR="008124B9" w:rsidRDefault="00770287">
      <w:pPr>
        <w:spacing w:after="0" w:line="240" w:lineRule="auto"/>
        <w:ind w:left="1440"/>
        <w:rPr>
          <w:sz w:val="24"/>
          <w:szCs w:val="24"/>
        </w:rPr>
      </w:pPr>
      <w:r w:rsidRPr="00593910">
        <w:rPr>
          <w:color w:val="FFFFFF"/>
          <w:sz w:val="24"/>
          <w:szCs w:val="24"/>
          <w:highlight w:val="darkBlue"/>
          <w:shd w:val="clear" w:color="auto" w:fill="0563C1"/>
        </w:rPr>
        <w:t>New Requirement</w:t>
      </w:r>
      <w:r w:rsidRPr="00593910">
        <w:rPr>
          <w:rFonts w:ascii="Arial Unicode MS" w:eastAsia="Arial Unicode MS" w:hAnsi="Arial Unicode MS" w:cs="Arial Unicode MS"/>
          <w:b/>
          <w:bCs/>
          <w:color w:val="FFFFFF"/>
          <w:sz w:val="24"/>
          <w:szCs w:val="24"/>
          <w:highlight w:val="darkBlue"/>
          <w:shd w:val="clear" w:color="auto" w:fill="0563C1"/>
        </w:rPr>
        <w:t>⏵</w:t>
      </w:r>
      <w:r>
        <w:rPr>
          <w:rFonts w:ascii="Quattrocento Sans" w:eastAsia="Quattrocento Sans" w:hAnsi="Quattrocento Sans" w:cs="Quattrocento Sans"/>
          <w:b/>
          <w:bCs/>
          <w:color w:val="FFFFFF"/>
          <w:sz w:val="24"/>
          <w:szCs w:val="24"/>
        </w:rPr>
        <w:t xml:space="preserve"> </w:t>
      </w:r>
      <w:r>
        <w:rPr>
          <w:sz w:val="24"/>
          <w:szCs w:val="24"/>
        </w:rPr>
        <w:t xml:space="preserve">CMS may provide an assessment to the agency (with a copy to OMB) as to its views on whether establishment of the advisory committee is </w:t>
      </w:r>
      <w:proofErr w:type="gramStart"/>
      <w:r>
        <w:rPr>
          <w:sz w:val="24"/>
          <w:szCs w:val="24"/>
        </w:rPr>
        <w:t>in</w:t>
      </w:r>
      <w:proofErr w:type="gramEnd"/>
      <w:r>
        <w:rPr>
          <w:sz w:val="24"/>
          <w:szCs w:val="24"/>
        </w:rPr>
        <w:t xml:space="preserve"> </w:t>
      </w:r>
      <w:proofErr w:type="gramStart"/>
      <w:r>
        <w:rPr>
          <w:sz w:val="24"/>
          <w:szCs w:val="24"/>
        </w:rPr>
        <w:t>the public</w:t>
      </w:r>
      <w:proofErr w:type="gramEnd"/>
      <w:r>
        <w:rPr>
          <w:sz w:val="24"/>
          <w:szCs w:val="24"/>
        </w:rPr>
        <w:t xml:space="preserve"> interest and will notify the CMO if an assessment </w:t>
      </w:r>
      <w:proofErr w:type="gramStart"/>
      <w:r>
        <w:rPr>
          <w:sz w:val="24"/>
          <w:szCs w:val="24"/>
        </w:rPr>
        <w:t>will be</w:t>
      </w:r>
      <w:proofErr w:type="gramEnd"/>
      <w:r>
        <w:rPr>
          <w:sz w:val="24"/>
          <w:szCs w:val="24"/>
        </w:rPr>
        <w:t xml:space="preserve"> produced. </w:t>
      </w:r>
    </w:p>
    <w:p w14:paraId="119FEC08" w14:textId="77777777" w:rsidR="008124B9" w:rsidRDefault="00770287">
      <w:pPr>
        <w:numPr>
          <w:ilvl w:val="0"/>
          <w:numId w:val="6"/>
        </w:numPr>
        <w:pBdr>
          <w:top w:val="nil"/>
          <w:left w:val="nil"/>
          <w:bottom w:val="nil"/>
          <w:right w:val="nil"/>
          <w:between w:val="nil"/>
        </w:pBdr>
        <w:spacing w:after="0" w:line="240" w:lineRule="auto"/>
        <w:rPr>
          <w:sz w:val="24"/>
          <w:szCs w:val="24"/>
        </w:rPr>
      </w:pPr>
      <w:r>
        <w:rPr>
          <w:i/>
          <w:iCs/>
          <w:sz w:val="24"/>
          <w:szCs w:val="24"/>
        </w:rPr>
        <w:t>Responses to the following</w:t>
      </w:r>
      <w:r>
        <w:rPr>
          <w:sz w:val="24"/>
          <w:szCs w:val="24"/>
        </w:rPr>
        <w:t>:</w:t>
      </w:r>
    </w:p>
    <w:p w14:paraId="3F2EB1EE" w14:textId="77777777" w:rsidR="008124B9" w:rsidRDefault="00770287">
      <w:pPr>
        <w:numPr>
          <w:ilvl w:val="1"/>
          <w:numId w:val="6"/>
        </w:numPr>
        <w:pBdr>
          <w:top w:val="nil"/>
          <w:left w:val="nil"/>
          <w:bottom w:val="nil"/>
          <w:right w:val="nil"/>
          <w:between w:val="nil"/>
        </w:pBdr>
        <w:spacing w:after="0" w:line="240" w:lineRule="auto"/>
        <w:rPr>
          <w:sz w:val="24"/>
          <w:szCs w:val="24"/>
        </w:rPr>
      </w:pPr>
      <w:r>
        <w:rPr>
          <w:sz w:val="24"/>
          <w:szCs w:val="24"/>
        </w:rPr>
        <w:t>Cite the specific administration priority being met.</w:t>
      </w:r>
    </w:p>
    <w:p w14:paraId="7D6CD06F" w14:textId="77777777" w:rsidR="008124B9" w:rsidRDefault="00770287">
      <w:pPr>
        <w:numPr>
          <w:ilvl w:val="1"/>
          <w:numId w:val="6"/>
        </w:numPr>
        <w:pBdr>
          <w:top w:val="nil"/>
          <w:left w:val="nil"/>
          <w:bottom w:val="nil"/>
          <w:right w:val="nil"/>
          <w:between w:val="nil"/>
        </w:pBdr>
        <w:spacing w:after="0" w:line="240" w:lineRule="auto"/>
        <w:rPr>
          <w:sz w:val="24"/>
          <w:szCs w:val="24"/>
        </w:rPr>
      </w:pPr>
      <w:r>
        <w:rPr>
          <w:sz w:val="24"/>
          <w:szCs w:val="24"/>
        </w:rPr>
        <w:t>Confirm the agency head has approved the creation or continuation of the committee.</w:t>
      </w:r>
    </w:p>
    <w:p w14:paraId="52853A18" w14:textId="77777777" w:rsidR="008124B9" w:rsidRDefault="008124B9">
      <w:pPr>
        <w:pBdr>
          <w:top w:val="nil"/>
          <w:left w:val="nil"/>
          <w:bottom w:val="nil"/>
          <w:right w:val="nil"/>
          <w:between w:val="nil"/>
        </w:pBdr>
        <w:spacing w:after="0" w:line="240" w:lineRule="auto"/>
        <w:rPr>
          <w:b/>
          <w:bCs/>
          <w:sz w:val="24"/>
          <w:szCs w:val="24"/>
        </w:rPr>
      </w:pPr>
    </w:p>
    <w:p w14:paraId="5C1289A7" w14:textId="77777777" w:rsidR="008124B9" w:rsidRPr="00593910" w:rsidRDefault="00770287">
      <w:pPr>
        <w:pBdr>
          <w:top w:val="nil"/>
          <w:left w:val="nil"/>
          <w:bottom w:val="nil"/>
          <w:right w:val="nil"/>
          <w:between w:val="nil"/>
        </w:pBdr>
        <w:spacing w:after="0" w:line="240" w:lineRule="auto"/>
        <w:rPr>
          <w:b/>
          <w:bCs/>
          <w:color w:val="AA0000"/>
          <w:sz w:val="24"/>
          <w:szCs w:val="24"/>
        </w:rPr>
      </w:pPr>
      <w:r w:rsidRPr="00593910">
        <w:rPr>
          <w:b/>
          <w:bCs/>
          <w:color w:val="AA0000"/>
          <w:sz w:val="24"/>
          <w:szCs w:val="24"/>
        </w:rPr>
        <w:t>CMS will notify the agency when the consultation is complete.</w:t>
      </w:r>
    </w:p>
    <w:p w14:paraId="4E37AAD4" w14:textId="77777777" w:rsidR="008124B9" w:rsidRDefault="008124B9">
      <w:pPr>
        <w:pBdr>
          <w:top w:val="nil"/>
          <w:left w:val="nil"/>
          <w:bottom w:val="nil"/>
          <w:right w:val="nil"/>
          <w:between w:val="nil"/>
        </w:pBdr>
        <w:spacing w:after="0" w:line="240" w:lineRule="auto"/>
        <w:ind w:left="1800"/>
        <w:rPr>
          <w:sz w:val="24"/>
          <w:szCs w:val="24"/>
        </w:rPr>
      </w:pPr>
    </w:p>
    <w:p w14:paraId="48A154B7" w14:textId="77777777" w:rsidR="008124B9" w:rsidRDefault="00770287">
      <w:pPr>
        <w:pBdr>
          <w:top w:val="nil"/>
          <w:left w:val="nil"/>
          <w:bottom w:val="nil"/>
          <w:right w:val="nil"/>
          <w:between w:val="nil"/>
        </w:pBdr>
        <w:spacing w:after="0" w:line="240" w:lineRule="auto"/>
        <w:rPr>
          <w:sz w:val="24"/>
          <w:szCs w:val="24"/>
        </w:rPr>
      </w:pPr>
      <w:r>
        <w:rPr>
          <w:sz w:val="24"/>
          <w:szCs w:val="24"/>
          <w:u w:val="single"/>
        </w:rPr>
        <w:t>Consultations for a New Subcommittee Under a Discretionary Advisory Committee:</w:t>
      </w:r>
      <w:r>
        <w:rPr>
          <w:sz w:val="24"/>
          <w:szCs w:val="24"/>
        </w:rPr>
        <w:t xml:space="preserve"> </w:t>
      </w:r>
    </w:p>
    <w:p w14:paraId="703BD82E" w14:textId="77777777" w:rsidR="008124B9" w:rsidRDefault="00770287">
      <w:pPr>
        <w:pBdr>
          <w:top w:val="nil"/>
          <w:left w:val="nil"/>
          <w:bottom w:val="nil"/>
          <w:right w:val="nil"/>
          <w:between w:val="nil"/>
        </w:pBdr>
        <w:spacing w:line="240" w:lineRule="auto"/>
        <w:rPr>
          <w:color w:val="9CC3E5"/>
          <w:sz w:val="24"/>
          <w:szCs w:val="24"/>
        </w:rPr>
      </w:pPr>
      <w:r w:rsidRPr="00593910">
        <w:rPr>
          <w:b/>
          <w:bCs/>
          <w:color w:val="FFFFFF"/>
          <w:sz w:val="24"/>
          <w:szCs w:val="24"/>
          <w:highlight w:val="darkBlue"/>
          <w:shd w:val="clear" w:color="auto" w:fill="0563C1"/>
        </w:rPr>
        <w:t>New Requirement</w:t>
      </w:r>
      <w:r w:rsidRPr="00593910">
        <w:rPr>
          <w:rFonts w:ascii="Arial Unicode MS" w:eastAsia="Arial Unicode MS" w:hAnsi="Arial Unicode MS" w:cs="Arial Unicode MS"/>
          <w:b/>
          <w:bCs/>
          <w:color w:val="FFFFFF"/>
          <w:sz w:val="24"/>
          <w:szCs w:val="24"/>
          <w:highlight w:val="darkBlue"/>
          <w:shd w:val="clear" w:color="auto" w:fill="0563C1"/>
        </w:rPr>
        <w:t>⏵</w:t>
      </w:r>
      <w:r>
        <w:rPr>
          <w:color w:val="000000"/>
          <w:sz w:val="24"/>
          <w:szCs w:val="24"/>
        </w:rPr>
        <w:t xml:space="preserve"> To establish a subcommittee under a discretionary committee that is not made up entirely of members of a parent advisory committee, the agency must </w:t>
      </w:r>
      <w:r>
        <w:rPr>
          <w:sz w:val="24"/>
          <w:szCs w:val="24"/>
        </w:rPr>
        <w:t xml:space="preserve">first consult with CMS and provide the following materials as part of the consultation: </w:t>
      </w:r>
      <w:r>
        <w:rPr>
          <w:color w:val="9CC3E5"/>
          <w:sz w:val="24"/>
          <w:szCs w:val="24"/>
        </w:rPr>
        <w:t xml:space="preserve">  </w:t>
      </w:r>
    </w:p>
    <w:p w14:paraId="42E14589" w14:textId="77777777" w:rsidR="008124B9" w:rsidRDefault="00770287">
      <w:pPr>
        <w:numPr>
          <w:ilvl w:val="0"/>
          <w:numId w:val="5"/>
        </w:numPr>
        <w:pBdr>
          <w:top w:val="nil"/>
          <w:left w:val="nil"/>
          <w:bottom w:val="nil"/>
          <w:right w:val="nil"/>
          <w:between w:val="nil"/>
        </w:pBdr>
        <w:spacing w:after="0" w:line="240" w:lineRule="auto"/>
        <w:rPr>
          <w:sz w:val="24"/>
          <w:szCs w:val="24"/>
        </w:rPr>
      </w:pPr>
      <w:r>
        <w:rPr>
          <w:i/>
          <w:iCs/>
          <w:sz w:val="24"/>
          <w:szCs w:val="24"/>
        </w:rPr>
        <w:t>Advisory Committee charter</w:t>
      </w:r>
      <w:r>
        <w:rPr>
          <w:sz w:val="24"/>
          <w:szCs w:val="24"/>
        </w:rPr>
        <w:t>.</w:t>
      </w:r>
    </w:p>
    <w:p w14:paraId="5735771A" w14:textId="77777777" w:rsidR="008124B9" w:rsidRDefault="00770287">
      <w:pPr>
        <w:numPr>
          <w:ilvl w:val="0"/>
          <w:numId w:val="5"/>
        </w:numPr>
        <w:spacing w:after="0" w:line="240" w:lineRule="auto"/>
        <w:rPr>
          <w:sz w:val="24"/>
          <w:szCs w:val="24"/>
        </w:rPr>
      </w:pPr>
      <w:r>
        <w:rPr>
          <w:i/>
          <w:iCs/>
          <w:sz w:val="24"/>
          <w:szCs w:val="24"/>
        </w:rPr>
        <w:t>Public Interest Determination</w:t>
      </w:r>
      <w:r>
        <w:rPr>
          <w:sz w:val="24"/>
          <w:szCs w:val="24"/>
        </w:rPr>
        <w:t xml:space="preserve"> (PID). </w:t>
      </w:r>
      <w:r w:rsidRPr="00593910">
        <w:rPr>
          <w:rFonts w:ascii="Segoe UI Symbol" w:eastAsia="Arial Unicode MS" w:hAnsi="Segoe UI Symbol" w:cs="Segoe UI Symbol"/>
          <w:color w:val="FFFFFF"/>
          <w:sz w:val="24"/>
          <w:szCs w:val="24"/>
          <w:highlight w:val="darkBlue"/>
          <w:shd w:val="clear" w:color="auto" w:fill="0563C1"/>
        </w:rPr>
        <w:t>⏴</w:t>
      </w:r>
      <w:r w:rsidRPr="00593910">
        <w:rPr>
          <w:rFonts w:asciiTheme="majorHAnsi" w:eastAsia="Arial Unicode MS" w:hAnsiTheme="majorHAnsi" w:cstheme="majorHAnsi"/>
          <w:color w:val="FFFFFF"/>
          <w:sz w:val="24"/>
          <w:szCs w:val="24"/>
          <w:highlight w:val="darkBlue"/>
          <w:shd w:val="clear" w:color="auto" w:fill="0563C1"/>
        </w:rPr>
        <w:t>Contact your CMS Desk Officer for the form</w:t>
      </w:r>
      <w:r>
        <w:rPr>
          <w:sz w:val="24"/>
          <w:szCs w:val="24"/>
        </w:rPr>
        <w:t>. The PID must be approved by the head of the agency and provided to both the Secretariat and OMB (contact your CMS Desk Officer for details).</w:t>
      </w:r>
    </w:p>
    <w:p w14:paraId="39271496" w14:textId="77777777" w:rsidR="008124B9" w:rsidRDefault="008124B9">
      <w:pPr>
        <w:spacing w:after="0" w:line="240" w:lineRule="auto"/>
        <w:rPr>
          <w:sz w:val="24"/>
          <w:szCs w:val="24"/>
        </w:rPr>
      </w:pPr>
    </w:p>
    <w:p w14:paraId="2B4D86CD" w14:textId="30E11B37" w:rsidR="008124B9" w:rsidRPr="00593910" w:rsidRDefault="00770287">
      <w:pPr>
        <w:keepLines/>
        <w:pBdr>
          <w:top w:val="nil"/>
          <w:left w:val="nil"/>
          <w:bottom w:val="nil"/>
          <w:right w:val="nil"/>
          <w:between w:val="nil"/>
        </w:pBdr>
        <w:spacing w:after="0" w:line="240" w:lineRule="auto"/>
        <w:ind w:right="-360"/>
        <w:rPr>
          <w:b/>
          <w:bCs/>
          <w:color w:val="AA0000"/>
          <w:sz w:val="24"/>
          <w:szCs w:val="24"/>
        </w:rPr>
      </w:pPr>
      <w:r w:rsidRPr="00593910">
        <w:rPr>
          <w:b/>
          <w:bCs/>
          <w:color w:val="AA0000"/>
          <w:sz w:val="24"/>
          <w:szCs w:val="24"/>
        </w:rPr>
        <w:t xml:space="preserve">CMS will notify the agency </w:t>
      </w:r>
      <w:r w:rsidRPr="00593910">
        <w:rPr>
          <w:b/>
          <w:bCs/>
          <w:color w:val="AA0000"/>
          <w:sz w:val="24"/>
          <w:szCs w:val="24"/>
        </w:rPr>
        <w:t>when the consultation is complete.</w:t>
      </w:r>
    </w:p>
    <w:p w14:paraId="583924D0" w14:textId="77777777" w:rsidR="008124B9" w:rsidRDefault="008124B9">
      <w:pPr>
        <w:spacing w:before="120" w:after="0" w:line="240" w:lineRule="auto"/>
        <w:rPr>
          <w:b/>
          <w:bCs/>
          <w:color w:val="2F5496"/>
          <w:sz w:val="24"/>
          <w:szCs w:val="24"/>
        </w:rPr>
      </w:pPr>
    </w:p>
    <w:p w14:paraId="23461E33" w14:textId="77777777" w:rsidR="008124B9" w:rsidRPr="00593910" w:rsidRDefault="00770287" w:rsidP="00593910">
      <w:pPr>
        <w:pStyle w:val="Heading2"/>
        <w:rPr>
          <w:color w:val="1F497D" w:themeColor="text2"/>
          <w:u w:val="single"/>
        </w:rPr>
      </w:pPr>
      <w:r w:rsidRPr="00593910">
        <w:rPr>
          <w:color w:val="1F497D" w:themeColor="text2"/>
        </w:rPr>
        <w:t xml:space="preserve">Public Notification Requirements: </w:t>
      </w:r>
    </w:p>
    <w:p w14:paraId="54014DD0" w14:textId="33EACBAB" w:rsidR="008124B9" w:rsidRDefault="00770287">
      <w:pPr>
        <w:numPr>
          <w:ilvl w:val="0"/>
          <w:numId w:val="4"/>
        </w:numPr>
        <w:pBdr>
          <w:top w:val="nil"/>
          <w:left w:val="nil"/>
          <w:bottom w:val="nil"/>
          <w:right w:val="nil"/>
          <w:between w:val="nil"/>
        </w:pBdr>
        <w:spacing w:before="120" w:after="0" w:line="240" w:lineRule="auto"/>
        <w:ind w:right="-360"/>
        <w:rPr>
          <w:color w:val="000000"/>
          <w:sz w:val="24"/>
          <w:szCs w:val="24"/>
        </w:rPr>
      </w:pPr>
      <w:r>
        <w:rPr>
          <w:color w:val="000000"/>
          <w:sz w:val="24"/>
          <w:szCs w:val="24"/>
          <w:u w:val="single"/>
        </w:rPr>
        <w:t>Discretionary committees</w:t>
      </w:r>
      <w:r>
        <w:rPr>
          <w:color w:val="000000"/>
          <w:sz w:val="24"/>
          <w:szCs w:val="24"/>
        </w:rPr>
        <w:t xml:space="preserve">: </w:t>
      </w:r>
      <w:r>
        <w:rPr>
          <w:b/>
          <w:bCs/>
          <w:color w:val="000000"/>
          <w:sz w:val="24"/>
          <w:szCs w:val="24"/>
        </w:rPr>
        <w:t>After</w:t>
      </w:r>
      <w:r>
        <w:rPr>
          <w:color w:val="000000"/>
          <w:sz w:val="24"/>
          <w:szCs w:val="24"/>
        </w:rPr>
        <w:t xml:space="preserve"> CMS has </w:t>
      </w:r>
      <w:r>
        <w:rPr>
          <w:sz w:val="24"/>
          <w:szCs w:val="24"/>
        </w:rPr>
        <w:t xml:space="preserve">notified the agency that </w:t>
      </w:r>
      <w:r>
        <w:rPr>
          <w:color w:val="000000"/>
          <w:sz w:val="24"/>
          <w:szCs w:val="24"/>
        </w:rPr>
        <w:t xml:space="preserve">the consultation with CMS is complete, the agency must publish a notice to the public in the </w:t>
      </w:r>
      <w:r>
        <w:rPr>
          <w:i/>
          <w:iCs/>
          <w:color w:val="000000"/>
          <w:sz w:val="24"/>
          <w:szCs w:val="24"/>
        </w:rPr>
        <w:t>Federal Register.</w:t>
      </w:r>
      <w:r>
        <w:rPr>
          <w:color w:val="000000"/>
          <w:sz w:val="24"/>
          <w:szCs w:val="24"/>
        </w:rPr>
        <w:t xml:space="preserve">  The notice </w:t>
      </w:r>
      <w:r>
        <w:rPr>
          <w:color w:val="000000"/>
          <w:sz w:val="24"/>
          <w:szCs w:val="24"/>
        </w:rPr>
        <w:lastRenderedPageBreak/>
        <w:t xml:space="preserve">must appear </w:t>
      </w:r>
      <w:r>
        <w:rPr>
          <w:b/>
          <w:bCs/>
          <w:color w:val="000000"/>
          <w:sz w:val="24"/>
          <w:szCs w:val="24"/>
        </w:rPr>
        <w:t>at least 7 calendar days</w:t>
      </w:r>
      <w:r w:rsidR="003067A0">
        <w:rPr>
          <w:b/>
          <w:bCs/>
          <w:color w:val="000000"/>
          <w:sz w:val="24"/>
          <w:szCs w:val="24"/>
        </w:rPr>
        <w:t xml:space="preserve"> </w:t>
      </w:r>
      <w:r w:rsidRPr="00593910">
        <w:rPr>
          <w:rFonts w:ascii="Arial Unicode MS" w:eastAsia="Arial Unicode MS" w:hAnsi="Arial Unicode MS" w:cs="Arial Unicode MS"/>
          <w:color w:val="FFFFFF"/>
          <w:sz w:val="24"/>
          <w:szCs w:val="24"/>
          <w:highlight w:val="darkBlue"/>
          <w:shd w:val="clear" w:color="auto" w:fill="0563C1"/>
        </w:rPr>
        <w:t>⏴</w:t>
      </w:r>
      <w:r w:rsidRPr="00593910">
        <w:rPr>
          <w:color w:val="FFFFFF"/>
          <w:sz w:val="24"/>
          <w:szCs w:val="24"/>
          <w:highlight w:val="darkBlue"/>
          <w:shd w:val="clear" w:color="auto" w:fill="0563C1"/>
        </w:rPr>
        <w:t>Previously 15 days</w:t>
      </w:r>
      <w:r>
        <w:rPr>
          <w:b/>
          <w:bCs/>
          <w:color w:val="000000"/>
          <w:sz w:val="24"/>
          <w:szCs w:val="24"/>
        </w:rPr>
        <w:t xml:space="preserve"> </w:t>
      </w:r>
      <w:r>
        <w:rPr>
          <w:b/>
          <w:bCs/>
          <w:color w:val="000000"/>
          <w:sz w:val="24"/>
          <w:szCs w:val="24"/>
          <w:u w:val="single"/>
        </w:rPr>
        <w:t>before</w:t>
      </w:r>
      <w:r>
        <w:rPr>
          <w:b/>
          <w:bCs/>
          <w:color w:val="000000"/>
          <w:sz w:val="24"/>
          <w:szCs w:val="24"/>
        </w:rPr>
        <w:t xml:space="preserve"> the charter is filed </w:t>
      </w:r>
      <w:r>
        <w:rPr>
          <w:color w:val="000000"/>
          <w:sz w:val="24"/>
          <w:szCs w:val="24"/>
        </w:rPr>
        <w:t>for establis</w:t>
      </w:r>
      <w:r>
        <w:rPr>
          <w:sz w:val="24"/>
          <w:szCs w:val="24"/>
        </w:rPr>
        <w:t xml:space="preserve">hments, renewals </w:t>
      </w:r>
      <w:r w:rsidRPr="00593910">
        <w:rPr>
          <w:rFonts w:ascii="Arial Unicode MS" w:eastAsia="Arial Unicode MS" w:hAnsi="Arial Unicode MS" w:cs="Arial Unicode MS"/>
          <w:color w:val="FFFFFF"/>
          <w:sz w:val="24"/>
          <w:szCs w:val="24"/>
          <w:highlight w:val="darkBlue"/>
          <w:shd w:val="clear" w:color="auto" w:fill="0563C1"/>
        </w:rPr>
        <w:t>⏴</w:t>
      </w:r>
      <w:r w:rsidRPr="00593910">
        <w:rPr>
          <w:color w:val="FFFFFF"/>
          <w:sz w:val="24"/>
          <w:szCs w:val="24"/>
          <w:highlight w:val="darkBlue"/>
          <w:shd w:val="clear" w:color="auto" w:fill="0563C1"/>
        </w:rPr>
        <w:t>Previously concurrently</w:t>
      </w:r>
      <w:r>
        <w:rPr>
          <w:sz w:val="24"/>
          <w:szCs w:val="24"/>
        </w:rPr>
        <w:t>, reestablishments, or mergers</w:t>
      </w:r>
      <w:r>
        <w:rPr>
          <w:color w:val="000000"/>
          <w:sz w:val="24"/>
          <w:szCs w:val="24"/>
        </w:rPr>
        <w:t xml:space="preserve">. The </w:t>
      </w:r>
      <w:r>
        <w:rPr>
          <w:i/>
          <w:iCs/>
          <w:color w:val="000000"/>
          <w:sz w:val="24"/>
          <w:szCs w:val="24"/>
        </w:rPr>
        <w:t xml:space="preserve">Federal Register </w:t>
      </w:r>
      <w:r>
        <w:rPr>
          <w:color w:val="000000"/>
          <w:sz w:val="24"/>
          <w:szCs w:val="24"/>
        </w:rPr>
        <w:t>notice must include the written public interest determination approved by the agency head and any assessment provided by CMS. </w:t>
      </w:r>
    </w:p>
    <w:p w14:paraId="511302BF" w14:textId="77777777" w:rsidR="008124B9" w:rsidRDefault="00770287">
      <w:pPr>
        <w:keepLines/>
        <w:numPr>
          <w:ilvl w:val="0"/>
          <w:numId w:val="4"/>
        </w:numPr>
        <w:pBdr>
          <w:top w:val="nil"/>
          <w:left w:val="nil"/>
          <w:bottom w:val="nil"/>
          <w:right w:val="nil"/>
          <w:between w:val="nil"/>
        </w:pBdr>
        <w:spacing w:after="0" w:line="240" w:lineRule="auto"/>
        <w:ind w:right="-360"/>
        <w:rPr>
          <w:color w:val="000000"/>
          <w:sz w:val="24"/>
          <w:szCs w:val="24"/>
        </w:rPr>
      </w:pPr>
      <w:r>
        <w:rPr>
          <w:color w:val="000000"/>
          <w:sz w:val="24"/>
          <w:szCs w:val="24"/>
          <w:u w:val="single"/>
        </w:rPr>
        <w:t>Charter amendments</w:t>
      </w:r>
      <w:r>
        <w:rPr>
          <w:color w:val="000000"/>
          <w:sz w:val="24"/>
          <w:szCs w:val="24"/>
        </w:rPr>
        <w:t xml:space="preserve">: Agencies must post an announcement and a copy of the charter amendment on the advisory committee website, or if a website is not available, must publish a notice of amendment in the </w:t>
      </w:r>
      <w:r>
        <w:rPr>
          <w:i/>
          <w:iCs/>
          <w:color w:val="000000"/>
          <w:sz w:val="24"/>
          <w:szCs w:val="24"/>
        </w:rPr>
        <w:t xml:space="preserve">Federal Register </w:t>
      </w:r>
      <w:r>
        <w:rPr>
          <w:color w:val="000000"/>
          <w:sz w:val="24"/>
          <w:szCs w:val="24"/>
        </w:rPr>
        <w:t xml:space="preserve">EXCEPT that the publishing requirement in the </w:t>
      </w:r>
      <w:r>
        <w:rPr>
          <w:i/>
          <w:iCs/>
          <w:color w:val="000000"/>
          <w:sz w:val="24"/>
          <w:szCs w:val="24"/>
        </w:rPr>
        <w:t>Federal Register</w:t>
      </w:r>
      <w:r>
        <w:rPr>
          <w:color w:val="000000"/>
          <w:sz w:val="24"/>
          <w:szCs w:val="24"/>
        </w:rPr>
        <w:t xml:space="preserve"> does not apply if the amendment was the result of a legislative change or Presidential </w:t>
      </w:r>
      <w:r>
        <w:rPr>
          <w:sz w:val="24"/>
          <w:szCs w:val="24"/>
        </w:rPr>
        <w:t>D</w:t>
      </w:r>
      <w:r>
        <w:rPr>
          <w:color w:val="000000"/>
          <w:sz w:val="24"/>
          <w:szCs w:val="24"/>
        </w:rPr>
        <w:t>irective.</w:t>
      </w:r>
    </w:p>
    <w:p w14:paraId="615D3F96" w14:textId="77777777" w:rsidR="008124B9" w:rsidRDefault="00770287">
      <w:pPr>
        <w:keepLines/>
        <w:numPr>
          <w:ilvl w:val="1"/>
          <w:numId w:val="3"/>
        </w:numPr>
        <w:pBdr>
          <w:top w:val="nil"/>
          <w:left w:val="nil"/>
          <w:bottom w:val="nil"/>
          <w:right w:val="nil"/>
          <w:between w:val="nil"/>
        </w:pBdr>
        <w:spacing w:after="0" w:line="240" w:lineRule="auto"/>
        <w:ind w:right="-360"/>
        <w:rPr>
          <w:color w:val="000000"/>
          <w:sz w:val="24"/>
          <w:szCs w:val="24"/>
        </w:rPr>
      </w:pPr>
      <w:r>
        <w:rPr>
          <w:color w:val="000000"/>
          <w:sz w:val="24"/>
          <w:szCs w:val="24"/>
        </w:rPr>
        <w:t>Publishing/posting of charter amendments may be performed concurrently with the filing of the charter</w:t>
      </w:r>
      <w:r>
        <w:rPr>
          <w:color w:val="2F5496"/>
          <w:sz w:val="24"/>
          <w:szCs w:val="24"/>
        </w:rPr>
        <w:t xml:space="preserve"> (</w:t>
      </w:r>
      <w:hyperlink r:id="rId25">
        <w:r w:rsidR="008124B9">
          <w:rPr>
            <w:color w:val="0563C1"/>
            <w:sz w:val="24"/>
            <w:szCs w:val="24"/>
            <w:u w:val="single"/>
          </w:rPr>
          <w:t>41 CFR § 102-3.80(c)</w:t>
        </w:r>
      </w:hyperlink>
      <w:r>
        <w:rPr>
          <w:color w:val="2F5496"/>
          <w:sz w:val="24"/>
          <w:szCs w:val="24"/>
        </w:rPr>
        <w:t>).</w:t>
      </w:r>
    </w:p>
    <w:p w14:paraId="515D5467" w14:textId="77777777" w:rsidR="008124B9" w:rsidRDefault="00770287">
      <w:pPr>
        <w:spacing w:before="120" w:after="0" w:line="240" w:lineRule="auto"/>
        <w:ind w:right="-360"/>
        <w:rPr>
          <w:color w:val="000000"/>
          <w:sz w:val="24"/>
          <w:szCs w:val="24"/>
        </w:rPr>
      </w:pPr>
      <w:r>
        <w:rPr>
          <w:sz w:val="24"/>
          <w:szCs w:val="24"/>
        </w:rPr>
        <w:t xml:space="preserve">For more guidance, see the </w:t>
      </w:r>
      <w:r>
        <w:rPr>
          <w:i/>
          <w:iCs/>
          <w:sz w:val="24"/>
          <w:szCs w:val="24"/>
        </w:rPr>
        <w:t>Charter Consultation Flowchart</w:t>
      </w:r>
      <w:r>
        <w:rPr>
          <w:sz w:val="24"/>
          <w:szCs w:val="24"/>
        </w:rPr>
        <w:t xml:space="preserve"> and </w:t>
      </w:r>
      <w:hyperlink r:id="rId26">
        <w:r w:rsidR="008124B9">
          <w:rPr>
            <w:color w:val="1155CC"/>
            <w:sz w:val="24"/>
            <w:szCs w:val="24"/>
            <w:u w:val="single"/>
          </w:rPr>
          <w:t>41 CFR § 102-3.65</w:t>
        </w:r>
      </w:hyperlink>
      <w:r>
        <w:rPr>
          <w:color w:val="000000"/>
          <w:sz w:val="24"/>
          <w:szCs w:val="24"/>
        </w:rPr>
        <w:t>.</w:t>
      </w:r>
    </w:p>
    <w:p w14:paraId="047BD760" w14:textId="77777777" w:rsidR="008124B9" w:rsidRPr="00593910" w:rsidRDefault="00770287" w:rsidP="00593910">
      <w:pPr>
        <w:pStyle w:val="Heading2"/>
        <w:rPr>
          <w:color w:val="1F497D" w:themeColor="text2"/>
          <w:u w:val="single"/>
        </w:rPr>
      </w:pPr>
      <w:r w:rsidRPr="00593910">
        <w:rPr>
          <w:color w:val="1F497D" w:themeColor="text2"/>
        </w:rPr>
        <w:t xml:space="preserve">Charter Filing Requirements: </w:t>
      </w:r>
    </w:p>
    <w:p w14:paraId="1E023D31" w14:textId="77777777" w:rsidR="008124B9" w:rsidRDefault="00770287">
      <w:pPr>
        <w:keepLines/>
        <w:spacing w:before="120" w:after="0" w:line="240" w:lineRule="auto"/>
        <w:ind w:right="-360"/>
        <w:rPr>
          <w:b/>
          <w:bCs/>
          <w:sz w:val="24"/>
          <w:szCs w:val="24"/>
        </w:rPr>
      </w:pPr>
      <w:r>
        <w:rPr>
          <w:sz w:val="24"/>
          <w:szCs w:val="24"/>
        </w:rPr>
        <w:t>No advisory committee may meet or take any action until a charter has been filed by the CMO.</w:t>
      </w:r>
      <w:r>
        <w:rPr>
          <w:color w:val="444746"/>
          <w:sz w:val="24"/>
          <w:szCs w:val="24"/>
        </w:rPr>
        <w:t xml:space="preserve"> </w:t>
      </w:r>
      <w:r>
        <w:rPr>
          <w:sz w:val="24"/>
          <w:szCs w:val="24"/>
        </w:rPr>
        <w:t>To amend a charter, establish (including due to a merger), renew, or reestablish an advisory committee, a charter must be filed by the CMO with:</w:t>
      </w:r>
    </w:p>
    <w:p w14:paraId="56F246EF" w14:textId="77777777" w:rsidR="008124B9" w:rsidRDefault="00770287">
      <w:pPr>
        <w:keepLines/>
        <w:spacing w:before="120" w:after="0" w:line="240" w:lineRule="auto"/>
        <w:ind w:left="720" w:right="-360"/>
        <w:rPr>
          <w:sz w:val="24"/>
          <w:szCs w:val="24"/>
        </w:rPr>
      </w:pPr>
      <w:r>
        <w:rPr>
          <w:sz w:val="24"/>
          <w:szCs w:val="24"/>
        </w:rPr>
        <w:t xml:space="preserve">(1) The </w:t>
      </w:r>
      <w:r>
        <w:rPr>
          <w:b/>
          <w:bCs/>
          <w:sz w:val="24"/>
          <w:szCs w:val="24"/>
        </w:rPr>
        <w:t xml:space="preserve">agency </w:t>
      </w:r>
      <w:proofErr w:type="gramStart"/>
      <w:r>
        <w:rPr>
          <w:b/>
          <w:bCs/>
          <w:sz w:val="24"/>
          <w:szCs w:val="24"/>
        </w:rPr>
        <w:t>head</w:t>
      </w:r>
      <w:r>
        <w:rPr>
          <w:sz w:val="24"/>
          <w:szCs w:val="24"/>
        </w:rPr>
        <w:t>;</w:t>
      </w:r>
      <w:proofErr w:type="gramEnd"/>
    </w:p>
    <w:p w14:paraId="27981944" w14:textId="77777777" w:rsidR="008124B9" w:rsidRDefault="00770287">
      <w:pPr>
        <w:keepLines/>
        <w:spacing w:before="120" w:after="0" w:line="240" w:lineRule="auto"/>
        <w:ind w:left="720" w:right="-360"/>
        <w:rPr>
          <w:sz w:val="24"/>
          <w:szCs w:val="24"/>
        </w:rPr>
      </w:pPr>
      <w:r>
        <w:rPr>
          <w:sz w:val="24"/>
          <w:szCs w:val="24"/>
        </w:rPr>
        <w:t xml:space="preserve">(2) The </w:t>
      </w:r>
      <w:r>
        <w:rPr>
          <w:b/>
          <w:bCs/>
          <w:sz w:val="24"/>
          <w:szCs w:val="24"/>
        </w:rPr>
        <w:t>standing committees of the Senate and the House of Representatives</w:t>
      </w:r>
      <w:r>
        <w:rPr>
          <w:sz w:val="24"/>
          <w:szCs w:val="24"/>
        </w:rPr>
        <w:t xml:space="preserve"> having legislative jurisdiction of the agency, the date of filing with which constitutes the official date of establishment for the advisory committee. See note on Presidential advisory committees below.</w:t>
      </w:r>
    </w:p>
    <w:p w14:paraId="110E0266" w14:textId="77777777" w:rsidR="008124B9" w:rsidRDefault="00770287">
      <w:pPr>
        <w:keepLines/>
        <w:spacing w:before="120" w:after="0" w:line="240" w:lineRule="auto"/>
        <w:ind w:left="720" w:right="-360"/>
        <w:rPr>
          <w:sz w:val="24"/>
          <w:szCs w:val="24"/>
        </w:rPr>
      </w:pPr>
      <w:r>
        <w:rPr>
          <w:sz w:val="24"/>
          <w:szCs w:val="24"/>
        </w:rPr>
        <w:t xml:space="preserve">(3) The </w:t>
      </w:r>
      <w:r>
        <w:rPr>
          <w:b/>
          <w:bCs/>
          <w:sz w:val="24"/>
          <w:szCs w:val="24"/>
        </w:rPr>
        <w:t>Library of Congress</w:t>
      </w:r>
      <w:r>
        <w:rPr>
          <w:sz w:val="24"/>
          <w:szCs w:val="24"/>
        </w:rPr>
        <w:t xml:space="preserve"> at </w:t>
      </w:r>
      <w:hyperlink r:id="rId27">
        <w:r w:rsidR="008124B9">
          <w:rPr>
            <w:color w:val="1155CC"/>
            <w:sz w:val="24"/>
            <w:szCs w:val="24"/>
            <w:u w:val="single"/>
          </w:rPr>
          <w:t>FACA@LOC.gov</w:t>
        </w:r>
      </w:hyperlink>
    </w:p>
    <w:p w14:paraId="617EBB79" w14:textId="77777777" w:rsidR="008124B9" w:rsidRDefault="00770287">
      <w:pPr>
        <w:keepLines/>
        <w:spacing w:before="120" w:after="0" w:line="240" w:lineRule="auto"/>
        <w:ind w:left="720" w:right="-360"/>
        <w:rPr>
          <w:sz w:val="24"/>
          <w:szCs w:val="24"/>
        </w:rPr>
      </w:pPr>
      <w:r>
        <w:rPr>
          <w:sz w:val="24"/>
          <w:szCs w:val="24"/>
        </w:rPr>
        <w:t xml:space="preserve">(4) </w:t>
      </w:r>
      <w:r>
        <w:rPr>
          <w:b/>
          <w:bCs/>
          <w:sz w:val="24"/>
          <w:szCs w:val="24"/>
        </w:rPr>
        <w:t>CMS</w:t>
      </w:r>
      <w:r>
        <w:rPr>
          <w:sz w:val="24"/>
          <w:szCs w:val="24"/>
        </w:rPr>
        <w:t xml:space="preserve">. To file the charter with CMS, enter a consultation into the </w:t>
      </w:r>
      <w:hyperlink r:id="rId28">
        <w:r w:rsidR="008124B9">
          <w:rPr>
            <w:color w:val="1155CC"/>
            <w:sz w:val="24"/>
            <w:szCs w:val="24"/>
            <w:u w:val="single"/>
          </w:rPr>
          <w:t>FACA database</w:t>
        </w:r>
      </w:hyperlink>
      <w:r>
        <w:rPr>
          <w:sz w:val="24"/>
          <w:szCs w:val="24"/>
        </w:rPr>
        <w:t xml:space="preserve"> and upload the charter into the Charters and Related Docs section.</w:t>
      </w:r>
    </w:p>
    <w:p w14:paraId="55EB088B" w14:textId="77777777" w:rsidR="008124B9" w:rsidRDefault="00770287">
      <w:pPr>
        <w:keepLines/>
        <w:spacing w:before="120" w:after="0" w:line="240" w:lineRule="auto"/>
        <w:ind w:left="720" w:right="-360"/>
        <w:rPr>
          <w:sz w:val="24"/>
          <w:szCs w:val="24"/>
        </w:rPr>
      </w:pPr>
      <w:r>
        <w:rPr>
          <w:sz w:val="24"/>
          <w:szCs w:val="24"/>
        </w:rPr>
        <w:t>(5)</w:t>
      </w:r>
      <w:r>
        <w:rPr>
          <w:b/>
          <w:bCs/>
          <w:sz w:val="24"/>
          <w:szCs w:val="24"/>
        </w:rPr>
        <w:t xml:space="preserve"> </w:t>
      </w:r>
      <w:r w:rsidRPr="00593910">
        <w:rPr>
          <w:color w:val="FFFFFF"/>
          <w:sz w:val="24"/>
          <w:szCs w:val="24"/>
          <w:highlight w:val="darkBlue"/>
          <w:shd w:val="clear" w:color="auto" w:fill="0563C1"/>
        </w:rPr>
        <w:t>New Requirement⏵</w:t>
      </w:r>
      <w:r>
        <w:rPr>
          <w:b/>
          <w:bCs/>
          <w:color w:val="FFFFFF"/>
          <w:sz w:val="24"/>
          <w:szCs w:val="24"/>
        </w:rPr>
        <w:t xml:space="preserve"> </w:t>
      </w:r>
      <w:r>
        <w:rPr>
          <w:b/>
          <w:bCs/>
          <w:sz w:val="24"/>
          <w:szCs w:val="24"/>
        </w:rPr>
        <w:t>OMB</w:t>
      </w:r>
      <w:r>
        <w:rPr>
          <w:sz w:val="24"/>
          <w:szCs w:val="24"/>
        </w:rPr>
        <w:t>. Contact your CMS Desk Officer for details.</w:t>
      </w:r>
    </w:p>
    <w:p w14:paraId="34B39271" w14:textId="77777777" w:rsidR="008124B9" w:rsidRDefault="00770287">
      <w:pPr>
        <w:keepLines/>
        <w:spacing w:before="120" w:after="0" w:line="240" w:lineRule="auto"/>
        <w:ind w:right="-360"/>
        <w:rPr>
          <w:sz w:val="24"/>
          <w:szCs w:val="24"/>
        </w:rPr>
      </w:pPr>
      <w:r>
        <w:rPr>
          <w:b/>
          <w:bCs/>
          <w:sz w:val="24"/>
          <w:szCs w:val="24"/>
        </w:rPr>
        <w:t>Note:</w:t>
      </w:r>
      <w:r>
        <w:rPr>
          <w:sz w:val="24"/>
          <w:szCs w:val="24"/>
        </w:rPr>
        <w:t xml:space="preserve"> Charter filing requirements for a Presidential advisory committee are the same as those outlined above except the date of establishment, renewal, or </w:t>
      </w:r>
      <w:proofErr w:type="gramStart"/>
      <w:r>
        <w:rPr>
          <w:sz w:val="24"/>
          <w:szCs w:val="24"/>
        </w:rPr>
        <w:t>reestablishment</w:t>
      </w:r>
      <w:proofErr w:type="gramEnd"/>
      <w:r>
        <w:rPr>
          <w:sz w:val="24"/>
          <w:szCs w:val="24"/>
        </w:rPr>
        <w:t xml:space="preserve"> for a </w:t>
      </w:r>
      <w:r>
        <w:rPr>
          <w:b/>
          <w:bCs/>
          <w:sz w:val="24"/>
          <w:szCs w:val="24"/>
        </w:rPr>
        <w:t xml:space="preserve">Presidential </w:t>
      </w:r>
      <w:r>
        <w:rPr>
          <w:sz w:val="24"/>
          <w:szCs w:val="24"/>
        </w:rPr>
        <w:t>advisory committee is the date the charter is filed with CMS.</w:t>
      </w:r>
    </w:p>
    <w:p w14:paraId="6805B9A3" w14:textId="77777777" w:rsidR="008124B9" w:rsidRDefault="00770287" w:rsidP="00593910">
      <w:pPr>
        <w:pStyle w:val="Heading2"/>
      </w:pPr>
      <w:r w:rsidRPr="00593910">
        <w:rPr>
          <w:color w:val="1F497D" w:themeColor="text2"/>
        </w:rPr>
        <w:t>Frequently Asked Questions &amp; Best Practice Considerations:</w:t>
      </w:r>
      <w:r>
        <w:t xml:space="preserve"> </w:t>
      </w:r>
    </w:p>
    <w:p w14:paraId="3EAF9215" w14:textId="77777777" w:rsidR="008124B9" w:rsidRDefault="00770287">
      <w:pPr>
        <w:numPr>
          <w:ilvl w:val="0"/>
          <w:numId w:val="1"/>
        </w:numPr>
        <w:pBdr>
          <w:top w:val="nil"/>
          <w:left w:val="nil"/>
          <w:bottom w:val="nil"/>
          <w:right w:val="nil"/>
          <w:between w:val="nil"/>
        </w:pBdr>
        <w:tabs>
          <w:tab w:val="left" w:pos="360"/>
        </w:tabs>
        <w:spacing w:before="120" w:after="0" w:line="240" w:lineRule="auto"/>
        <w:ind w:right="-360"/>
        <w:rPr>
          <w:b/>
          <w:bCs/>
          <w:color w:val="000000"/>
          <w:sz w:val="24"/>
          <w:szCs w:val="24"/>
        </w:rPr>
      </w:pPr>
      <w:r>
        <w:rPr>
          <w:b/>
          <w:bCs/>
          <w:color w:val="000000"/>
          <w:sz w:val="24"/>
          <w:szCs w:val="24"/>
        </w:rPr>
        <w:t xml:space="preserve">Who prepares the charter for a FAC? </w:t>
      </w:r>
    </w:p>
    <w:p w14:paraId="708410BC" w14:textId="4A608646" w:rsidR="008124B9" w:rsidRDefault="00770287" w:rsidP="00593910">
      <w:pPr>
        <w:pBdr>
          <w:top w:val="nil"/>
          <w:left w:val="nil"/>
          <w:bottom w:val="nil"/>
          <w:right w:val="nil"/>
          <w:between w:val="nil"/>
        </w:pBdr>
        <w:spacing w:before="120" w:after="0" w:line="240" w:lineRule="auto"/>
        <w:ind w:left="720" w:right="-360"/>
        <w:rPr>
          <w:sz w:val="24"/>
          <w:szCs w:val="24"/>
        </w:rPr>
      </w:pPr>
      <w:r>
        <w:rPr>
          <w:sz w:val="24"/>
          <w:szCs w:val="24"/>
        </w:rPr>
        <w:t>This is an agency responsibility. The charter and related documents may be drafted by the DFO</w:t>
      </w:r>
      <w:r w:rsidR="00F3696B">
        <w:rPr>
          <w:sz w:val="24"/>
          <w:szCs w:val="24"/>
        </w:rPr>
        <w:t xml:space="preserve"> </w:t>
      </w:r>
      <w:r>
        <w:rPr>
          <w:sz w:val="24"/>
          <w:szCs w:val="24"/>
        </w:rPr>
        <w:t>for the advisory committee. If the DFO is not yet designated, the charter may be drafted by</w:t>
      </w:r>
      <w:r w:rsidR="00F3696B">
        <w:rPr>
          <w:sz w:val="24"/>
          <w:szCs w:val="24"/>
        </w:rPr>
        <w:t xml:space="preserve"> </w:t>
      </w:r>
      <w:r>
        <w:rPr>
          <w:sz w:val="24"/>
          <w:szCs w:val="24"/>
        </w:rPr>
        <w:t xml:space="preserve">staff </w:t>
      </w:r>
      <w:r>
        <w:rPr>
          <w:sz w:val="24"/>
          <w:szCs w:val="24"/>
        </w:rPr>
        <w:t>of</w:t>
      </w:r>
      <w:r w:rsidR="00F3696B">
        <w:rPr>
          <w:sz w:val="24"/>
          <w:szCs w:val="24"/>
        </w:rPr>
        <w:t xml:space="preserve"> </w:t>
      </w:r>
      <w:r>
        <w:rPr>
          <w:sz w:val="24"/>
          <w:szCs w:val="24"/>
        </w:rPr>
        <w:t xml:space="preserve">the office that will support the FAC. In some agencies, the CMO may be involved. CMS does </w:t>
      </w:r>
      <w:r>
        <w:rPr>
          <w:sz w:val="24"/>
          <w:szCs w:val="24"/>
        </w:rPr>
        <w:t>not prepare agency charters.</w:t>
      </w:r>
    </w:p>
    <w:p w14:paraId="1582E5B9" w14:textId="77777777" w:rsidR="008124B9" w:rsidRDefault="00770287">
      <w:pPr>
        <w:numPr>
          <w:ilvl w:val="0"/>
          <w:numId w:val="1"/>
        </w:numPr>
        <w:tabs>
          <w:tab w:val="left" w:pos="360"/>
        </w:tabs>
        <w:spacing w:before="120" w:after="0" w:line="240" w:lineRule="auto"/>
        <w:ind w:right="-360"/>
        <w:rPr>
          <w:b/>
          <w:bCs/>
          <w:sz w:val="24"/>
          <w:szCs w:val="24"/>
        </w:rPr>
      </w:pPr>
      <w:r>
        <w:rPr>
          <w:b/>
          <w:bCs/>
          <w:sz w:val="24"/>
          <w:szCs w:val="24"/>
        </w:rPr>
        <w:t xml:space="preserve">How long does it take for CMS to review the charter and related documents? </w:t>
      </w:r>
    </w:p>
    <w:p w14:paraId="59B3B390" w14:textId="077EFDE7" w:rsidR="008124B9" w:rsidRDefault="00770287">
      <w:pPr>
        <w:spacing w:before="120" w:after="0" w:line="240" w:lineRule="auto"/>
        <w:ind w:left="720" w:right="-360"/>
        <w:rPr>
          <w:b/>
          <w:bCs/>
          <w:color w:val="FF0000"/>
          <w:highlight w:val="yellow"/>
        </w:rPr>
      </w:pPr>
      <w:r>
        <w:rPr>
          <w:sz w:val="24"/>
          <w:szCs w:val="24"/>
        </w:rPr>
        <w:t xml:space="preserve">As a standard, CMS requires </w:t>
      </w:r>
      <w:r>
        <w:rPr>
          <w:sz w:val="24"/>
          <w:szCs w:val="24"/>
          <w:u w:val="single"/>
        </w:rPr>
        <w:t>at least three weeks</w:t>
      </w:r>
      <w:r>
        <w:rPr>
          <w:sz w:val="24"/>
          <w:szCs w:val="24"/>
        </w:rPr>
        <w:t xml:space="preserve"> </w:t>
      </w:r>
      <w:r w:rsidRPr="00593910">
        <w:rPr>
          <w:color w:val="FFFFFF"/>
          <w:sz w:val="24"/>
          <w:szCs w:val="24"/>
          <w:highlight w:val="darkBlue"/>
          <w:shd w:val="clear" w:color="auto" w:fill="0563C1"/>
        </w:rPr>
        <w:t>⏴</w:t>
      </w:r>
      <w:r w:rsidRPr="00593910">
        <w:rPr>
          <w:color w:val="FFFFFF"/>
          <w:sz w:val="24"/>
          <w:szCs w:val="24"/>
          <w:highlight w:val="darkBlue"/>
          <w:shd w:val="clear" w:color="auto" w:fill="0563C1"/>
        </w:rPr>
        <w:t>Previously two weeks</w:t>
      </w:r>
      <w:r>
        <w:rPr>
          <w:sz w:val="24"/>
          <w:szCs w:val="24"/>
        </w:rPr>
        <w:t xml:space="preserve"> to review and provide comments on the charter and related documents. As the charter consultation is a back-and-forth process, agencies should incorporate the consultation process into the charter processing </w:t>
      </w:r>
      <w:r>
        <w:rPr>
          <w:sz w:val="24"/>
          <w:szCs w:val="24"/>
        </w:rPr>
        <w:lastRenderedPageBreak/>
        <w:t>timeline. When urgent requests are necessary, CMOs must alert the CMS Desk Officer as soon as possible and they will do their best to accommodate an accelerated timeline.</w:t>
      </w:r>
    </w:p>
    <w:p w14:paraId="5DFC6E7B" w14:textId="77777777" w:rsidR="008124B9" w:rsidRDefault="00770287">
      <w:pPr>
        <w:numPr>
          <w:ilvl w:val="0"/>
          <w:numId w:val="1"/>
        </w:numPr>
        <w:spacing w:before="120" w:after="0" w:line="240" w:lineRule="auto"/>
        <w:ind w:right="-360"/>
        <w:rPr>
          <w:b/>
          <w:bCs/>
          <w:sz w:val="24"/>
          <w:szCs w:val="24"/>
        </w:rPr>
      </w:pPr>
      <w:r>
        <w:rPr>
          <w:b/>
          <w:bCs/>
          <w:sz w:val="24"/>
          <w:szCs w:val="24"/>
        </w:rPr>
        <w:t>Are Membership Balance Plans (MBP) required?</w:t>
      </w:r>
      <w:r>
        <w:rPr>
          <w:sz w:val="24"/>
          <w:szCs w:val="24"/>
        </w:rPr>
        <w:t xml:space="preserve"> </w:t>
      </w:r>
    </w:p>
    <w:p w14:paraId="3827565A" w14:textId="77777777" w:rsidR="008124B9" w:rsidRDefault="00770287">
      <w:pPr>
        <w:spacing w:before="120" w:after="0" w:line="240" w:lineRule="auto"/>
        <w:ind w:left="720" w:right="-360"/>
        <w:rPr>
          <w:sz w:val="24"/>
          <w:szCs w:val="24"/>
        </w:rPr>
      </w:pPr>
      <w:r>
        <w:rPr>
          <w:sz w:val="24"/>
          <w:szCs w:val="24"/>
        </w:rPr>
        <w:t xml:space="preserve">No. </w:t>
      </w:r>
      <w:r w:rsidRPr="00593910">
        <w:rPr>
          <w:color w:val="FFFFFF"/>
          <w:sz w:val="24"/>
          <w:szCs w:val="24"/>
          <w:highlight w:val="darkBlue"/>
          <w:shd w:val="clear" w:color="auto" w:fill="0563C1"/>
        </w:rPr>
        <w:t>⏴</w:t>
      </w:r>
      <w:r w:rsidRPr="00593910">
        <w:rPr>
          <w:color w:val="FFFFFF"/>
          <w:sz w:val="24"/>
          <w:szCs w:val="24"/>
          <w:highlight w:val="darkBlue"/>
          <w:shd w:val="clear" w:color="auto" w:fill="0563C1"/>
        </w:rPr>
        <w:t>Previously agencies were required to submit MBPs</w:t>
      </w:r>
      <w:r>
        <w:rPr>
          <w:b/>
          <w:bCs/>
          <w:sz w:val="24"/>
          <w:szCs w:val="24"/>
        </w:rPr>
        <w:t xml:space="preserve">. </w:t>
      </w:r>
      <w:r>
        <w:rPr>
          <w:sz w:val="24"/>
          <w:szCs w:val="24"/>
        </w:rPr>
        <w:t xml:space="preserve">However, FACA still has a </w:t>
      </w:r>
      <w:proofErr w:type="gramStart"/>
      <w:r>
        <w:rPr>
          <w:sz w:val="24"/>
          <w:szCs w:val="24"/>
        </w:rPr>
        <w:t>fairly balanced</w:t>
      </w:r>
      <w:proofErr w:type="gramEnd"/>
      <w:r>
        <w:rPr>
          <w:sz w:val="24"/>
          <w:szCs w:val="24"/>
        </w:rPr>
        <w:t xml:space="preserve"> membership requirement. In recruiting members, agencies should consider the points of view (</w:t>
      </w:r>
      <w:proofErr w:type="spellStart"/>
      <w:r>
        <w:rPr>
          <w:sz w:val="24"/>
          <w:szCs w:val="24"/>
        </w:rPr>
        <w:t>i,e</w:t>
      </w:r>
      <w:proofErr w:type="spellEnd"/>
      <w:r>
        <w:rPr>
          <w:sz w:val="24"/>
          <w:szCs w:val="24"/>
        </w:rPr>
        <w:t>., expertise or perspectives) required to advance the work of the advisory committee and then conduct broad outreach. (</w:t>
      </w:r>
      <w:hyperlink r:id="rId29">
        <w:r w:rsidR="008124B9">
          <w:rPr>
            <w:color w:val="1155CC"/>
            <w:sz w:val="24"/>
            <w:szCs w:val="24"/>
            <w:u w:val="single"/>
          </w:rPr>
          <w:t>41 CFR 102-3.60(b)</w:t>
        </w:r>
      </w:hyperlink>
      <w:r>
        <w:rPr>
          <w:sz w:val="24"/>
          <w:szCs w:val="24"/>
        </w:rPr>
        <w:t>).</w:t>
      </w:r>
    </w:p>
    <w:p w14:paraId="5828833A" w14:textId="77777777" w:rsidR="008124B9" w:rsidRDefault="008124B9">
      <w:pPr>
        <w:spacing w:after="0" w:line="240" w:lineRule="auto"/>
        <w:ind w:right="-360"/>
        <w:rPr>
          <w:sz w:val="24"/>
          <w:szCs w:val="24"/>
        </w:rPr>
      </w:pPr>
    </w:p>
    <w:p w14:paraId="253F1B51" w14:textId="77777777" w:rsidR="008124B9" w:rsidRDefault="00770287">
      <w:pPr>
        <w:numPr>
          <w:ilvl w:val="0"/>
          <w:numId w:val="1"/>
        </w:numPr>
        <w:spacing w:after="0" w:line="240" w:lineRule="auto"/>
        <w:ind w:right="-360"/>
        <w:rPr>
          <w:sz w:val="24"/>
          <w:szCs w:val="24"/>
        </w:rPr>
      </w:pPr>
      <w:r>
        <w:rPr>
          <w:b/>
          <w:bCs/>
          <w:sz w:val="24"/>
          <w:szCs w:val="24"/>
        </w:rPr>
        <w:t xml:space="preserve">Does a charter have to be signed by the agency head? </w:t>
      </w:r>
    </w:p>
    <w:p w14:paraId="0107C4B4" w14:textId="77777777" w:rsidR="008124B9" w:rsidRDefault="00770287">
      <w:pPr>
        <w:spacing w:after="0" w:line="240" w:lineRule="auto"/>
        <w:ind w:left="720" w:right="-360"/>
        <w:rPr>
          <w:sz w:val="24"/>
          <w:szCs w:val="24"/>
        </w:rPr>
      </w:pPr>
      <w:r>
        <w:rPr>
          <w:sz w:val="24"/>
          <w:szCs w:val="24"/>
        </w:rPr>
        <w:t xml:space="preserve">No. An approval signature is not required under the Act or the FACA Final Rule. However, some agencies do have the agency head sign the charter as part of their agency administrative procedures. </w:t>
      </w:r>
    </w:p>
    <w:p w14:paraId="2211CB70" w14:textId="77777777" w:rsidR="008124B9" w:rsidRDefault="008124B9">
      <w:pPr>
        <w:spacing w:before="120" w:after="0" w:line="240" w:lineRule="auto"/>
        <w:ind w:right="27"/>
        <w:rPr>
          <w:b/>
          <w:bCs/>
          <w:sz w:val="24"/>
          <w:szCs w:val="24"/>
        </w:rPr>
      </w:pPr>
    </w:p>
    <w:p w14:paraId="1FB65B50" w14:textId="03EE30EB" w:rsidR="008124B9" w:rsidRDefault="00770287">
      <w:pPr>
        <w:spacing w:before="120" w:after="0" w:line="240" w:lineRule="auto"/>
        <w:ind w:right="27"/>
        <w:rPr>
          <w:sz w:val="20"/>
          <w:szCs w:val="20"/>
        </w:rPr>
      </w:pPr>
      <w:r>
        <w:rPr>
          <w:sz w:val="24"/>
          <w:szCs w:val="24"/>
        </w:rPr>
        <w:t xml:space="preserve">Questions or Comments? More information is available at </w:t>
      </w:r>
      <w:hyperlink r:id="rId30">
        <w:r w:rsidR="008124B9">
          <w:rPr>
            <w:color w:val="0563C1"/>
            <w:sz w:val="24"/>
            <w:szCs w:val="24"/>
            <w:u w:val="single"/>
          </w:rPr>
          <w:t>gsa.gov/faca</w:t>
        </w:r>
      </w:hyperlink>
      <w:r>
        <w:rPr>
          <w:sz w:val="24"/>
          <w:szCs w:val="24"/>
        </w:rPr>
        <w:t xml:space="preserve">. Please send comments to </w:t>
      </w:r>
      <w:hyperlink r:id="rId31">
        <w:r w:rsidR="008124B9">
          <w:rPr>
            <w:b/>
            <w:bCs/>
            <w:color w:val="224F78"/>
            <w:sz w:val="24"/>
            <w:szCs w:val="24"/>
            <w:u w:val="single"/>
          </w:rPr>
          <w:t>CMS@GSA.gov</w:t>
        </w:r>
      </w:hyperlink>
      <w:r>
        <w:rPr>
          <w:b/>
          <w:bCs/>
          <w:color w:val="224F78"/>
          <w:sz w:val="24"/>
          <w:szCs w:val="24"/>
        </w:rPr>
        <w:t>.</w:t>
      </w:r>
      <w:r>
        <w:rPr>
          <w:color w:val="0000FF"/>
          <w:sz w:val="24"/>
          <w:szCs w:val="24"/>
        </w:rPr>
        <w:t xml:space="preserve">  </w:t>
      </w:r>
      <w:r>
        <w:rPr>
          <w:sz w:val="24"/>
          <w:szCs w:val="24"/>
        </w:rPr>
        <w:t xml:space="preserve">Last updated by CMS on March </w:t>
      </w:r>
      <w:r w:rsidR="003067A0">
        <w:rPr>
          <w:sz w:val="24"/>
          <w:szCs w:val="24"/>
        </w:rPr>
        <w:t>30</w:t>
      </w:r>
      <w:r>
        <w:rPr>
          <w:sz w:val="24"/>
          <w:szCs w:val="24"/>
        </w:rPr>
        <w:t xml:space="preserve">, 2026.  </w:t>
      </w:r>
    </w:p>
    <w:sectPr w:rsidR="008124B9">
      <w:type w:val="continuous"/>
      <w:pgSz w:w="12240" w:h="15840"/>
      <w:pgMar w:top="720" w:right="1440" w:bottom="540" w:left="1080" w:header="720" w:footer="1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94D8DC" w14:textId="77777777" w:rsidR="00770287" w:rsidRDefault="00770287">
      <w:pPr>
        <w:spacing w:after="0" w:line="240" w:lineRule="auto"/>
      </w:pPr>
      <w:r>
        <w:separator/>
      </w:r>
    </w:p>
  </w:endnote>
  <w:endnote w:type="continuationSeparator" w:id="0">
    <w:p w14:paraId="75B3DB43" w14:textId="77777777" w:rsidR="00770287" w:rsidRDefault="007702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30AF0DA-80B8-4A20-9BF0-DD715BD3AE3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852BFB8-8709-4569-A1AB-80F2DE3F7FBB}"/>
    <w:embedBold r:id="rId3" w:fontKey="{EE9FF86A-06EA-470B-BDDC-E5B449B7694B}"/>
    <w:embedItalic r:id="rId4" w:fontKey="{696D6541-D3A6-4A8B-980A-CE366AD7999B}"/>
  </w:font>
  <w:font w:name="Quattrocento Sans">
    <w:charset w:val="00"/>
    <w:family w:val="swiss"/>
    <w:pitch w:val="variable"/>
    <w:sig w:usb0="800000BF" w:usb1="4000005B" w:usb2="00000000" w:usb3="00000000" w:csb0="00000001" w:csb1="00000000"/>
    <w:embedRegular r:id="rId5" w:fontKey="{28DFF361-3EF7-4E28-A2A2-8CBB385D756D}"/>
    <w:embedBold r:id="rId6" w:fontKey="{AFFC8E1C-B388-45C1-B77D-79D9A838F94E}"/>
  </w:font>
  <w:font w:name="Arial Unicode MS">
    <w:altName w:val="Arial"/>
    <w:panose1 w:val="020B0604020202020204"/>
    <w:charset w:val="00"/>
    <w:family w:val="auto"/>
    <w:pitch w:val="default"/>
  </w:font>
  <w:font w:name="Segoe UI Symbol">
    <w:panose1 w:val="020B0502040204020203"/>
    <w:charset w:val="00"/>
    <w:family w:val="swiss"/>
    <w:pitch w:val="variable"/>
    <w:sig w:usb0="800001E3" w:usb1="1200FFEF" w:usb2="00040000" w:usb3="00000000" w:csb0="00000001" w:csb1="00000000"/>
    <w:embedRegular r:id="rId7" w:fontKey="{9972B300-B61D-4A43-960F-16A33DCE99B0}"/>
  </w:font>
  <w:font w:name="Cambria">
    <w:panose1 w:val="02040503050406030204"/>
    <w:charset w:val="00"/>
    <w:family w:val="roman"/>
    <w:pitch w:val="variable"/>
    <w:sig w:usb0="E00006FF" w:usb1="420024FF" w:usb2="02000000" w:usb3="00000000" w:csb0="0000019F" w:csb1="00000000"/>
    <w:embedRegular r:id="rId8" w:fontKey="{A03572B6-C792-4A95-974F-CE0876864D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07D66" w14:textId="77777777" w:rsidR="008124B9" w:rsidRDefault="00770287">
    <w:pPr>
      <w:pBdr>
        <w:top w:val="nil"/>
        <w:left w:val="nil"/>
        <w:bottom w:val="nil"/>
        <w:right w:val="nil"/>
        <w:between w:val="nil"/>
      </w:pBdr>
      <w:tabs>
        <w:tab w:val="center" w:pos="4680"/>
        <w:tab w:val="right" w:pos="9360"/>
      </w:tabs>
      <w:spacing w:before="240" w:after="0" w:line="240" w:lineRule="auto"/>
      <w:jc w:val="center"/>
      <w:rPr>
        <w:color w:val="224F78"/>
      </w:rPr>
    </w:pPr>
    <w:r>
      <w:rPr>
        <w:color w:val="224F78"/>
        <w:sz w:val="28"/>
        <w:szCs w:val="28"/>
      </w:rPr>
      <w:t xml:space="preserve">Page </w:t>
    </w:r>
    <w:r>
      <w:rPr>
        <w:b/>
        <w:bCs/>
        <w:color w:val="224F78"/>
        <w:sz w:val="28"/>
        <w:szCs w:val="28"/>
      </w:rPr>
      <w:fldChar w:fldCharType="begin"/>
    </w:r>
    <w:r>
      <w:rPr>
        <w:b/>
        <w:bCs/>
        <w:color w:val="224F78"/>
        <w:sz w:val="28"/>
        <w:szCs w:val="28"/>
      </w:rPr>
      <w:instrText>PAGE</w:instrText>
    </w:r>
    <w:r>
      <w:rPr>
        <w:b/>
        <w:bCs/>
        <w:color w:val="224F78"/>
        <w:sz w:val="28"/>
        <w:szCs w:val="28"/>
      </w:rPr>
      <w:fldChar w:fldCharType="separate"/>
    </w:r>
    <w:r w:rsidR="003B7104">
      <w:rPr>
        <w:b/>
        <w:bCs/>
        <w:noProof/>
        <w:color w:val="224F78"/>
        <w:sz w:val="28"/>
        <w:szCs w:val="28"/>
      </w:rPr>
      <w:t>1</w:t>
    </w:r>
    <w:r>
      <w:rPr>
        <w:b/>
        <w:bCs/>
        <w:color w:val="224F78"/>
        <w:sz w:val="28"/>
        <w:szCs w:val="28"/>
      </w:rPr>
      <w:fldChar w:fldCharType="end"/>
    </w:r>
    <w:r>
      <w:rPr>
        <w:color w:val="224F78"/>
        <w:sz w:val="28"/>
        <w:szCs w:val="28"/>
      </w:rPr>
      <w:t xml:space="preserve"> of </w:t>
    </w:r>
    <w:r>
      <w:rPr>
        <w:b/>
        <w:bCs/>
        <w:color w:val="224F78"/>
        <w:sz w:val="28"/>
        <w:szCs w:val="28"/>
      </w:rPr>
      <w:fldChar w:fldCharType="begin"/>
    </w:r>
    <w:r>
      <w:rPr>
        <w:b/>
        <w:bCs/>
        <w:color w:val="224F78"/>
        <w:sz w:val="28"/>
        <w:szCs w:val="28"/>
      </w:rPr>
      <w:instrText>NUMPAGES</w:instrText>
    </w:r>
    <w:r>
      <w:rPr>
        <w:b/>
        <w:bCs/>
        <w:color w:val="224F78"/>
        <w:sz w:val="28"/>
        <w:szCs w:val="28"/>
      </w:rPr>
      <w:fldChar w:fldCharType="separate"/>
    </w:r>
    <w:r w:rsidR="003B7104">
      <w:rPr>
        <w:b/>
        <w:bCs/>
        <w:noProof/>
        <w:color w:val="224F78"/>
        <w:sz w:val="28"/>
        <w:szCs w:val="28"/>
      </w:rPr>
      <w:t>2</w:t>
    </w:r>
    <w:r>
      <w:rPr>
        <w:b/>
        <w:bCs/>
        <w:color w:val="224F78"/>
        <w:sz w:val="28"/>
        <w:szCs w:val="28"/>
      </w:rPr>
      <w:fldChar w:fldCharType="end"/>
    </w:r>
  </w:p>
  <w:p w14:paraId="3587A033" w14:textId="77777777" w:rsidR="008124B9" w:rsidRDefault="008124B9">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EACD2A" w14:textId="77777777" w:rsidR="00770287" w:rsidRDefault="00770287">
      <w:pPr>
        <w:spacing w:after="0" w:line="240" w:lineRule="auto"/>
      </w:pPr>
      <w:r>
        <w:separator/>
      </w:r>
    </w:p>
  </w:footnote>
  <w:footnote w:type="continuationSeparator" w:id="0">
    <w:p w14:paraId="30EA1F4A" w14:textId="77777777" w:rsidR="00770287" w:rsidRDefault="007702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E10531"/>
    <w:multiLevelType w:val="multilevel"/>
    <w:tmpl w:val="B53EA10A"/>
    <w:lvl w:ilvl="0">
      <w:start w:val="1"/>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5435B05"/>
    <w:multiLevelType w:val="multilevel"/>
    <w:tmpl w:val="2604D9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80E79EE"/>
    <w:multiLevelType w:val="multilevel"/>
    <w:tmpl w:val="4DF2A7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95A2D6F"/>
    <w:multiLevelType w:val="multilevel"/>
    <w:tmpl w:val="6C00D2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64B94D33"/>
    <w:multiLevelType w:val="multilevel"/>
    <w:tmpl w:val="AB6E0F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E2F62AF"/>
    <w:multiLevelType w:val="multilevel"/>
    <w:tmpl w:val="2EB658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66988443">
    <w:abstractNumId w:val="2"/>
  </w:num>
  <w:num w:numId="2" w16cid:durableId="1747414699">
    <w:abstractNumId w:val="0"/>
  </w:num>
  <w:num w:numId="3" w16cid:durableId="419180510">
    <w:abstractNumId w:val="3"/>
  </w:num>
  <w:num w:numId="4" w16cid:durableId="1542748926">
    <w:abstractNumId w:val="1"/>
  </w:num>
  <w:num w:numId="5" w16cid:durableId="1852181897">
    <w:abstractNumId w:val="4"/>
  </w:num>
  <w:num w:numId="6" w16cid:durableId="9669288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44"/>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4B9"/>
    <w:rsid w:val="000D589D"/>
    <w:rsid w:val="003067A0"/>
    <w:rsid w:val="00375656"/>
    <w:rsid w:val="003B7104"/>
    <w:rsid w:val="00593910"/>
    <w:rsid w:val="005C0C1A"/>
    <w:rsid w:val="006B5410"/>
    <w:rsid w:val="00770287"/>
    <w:rsid w:val="008124B9"/>
    <w:rsid w:val="00BE2427"/>
    <w:rsid w:val="00F369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52605B"/>
  <w15:docId w15:val="{578CC8C8-2F94-4984-BE3F-FC49557AB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600" w:after="280" w:line="300" w:lineRule="auto"/>
      <w:jc w:val="center"/>
    </w:pPr>
    <w:rPr>
      <w:b/>
      <w:bCs/>
      <w:color w:val="FFFFFF"/>
      <w:sz w:val="48"/>
      <w:szCs w:val="48"/>
    </w:rPr>
  </w:style>
  <w:style w:type="paragraph" w:styleId="Subtitle">
    <w:name w:val="Subtitle"/>
    <w:basedOn w:val="Normal"/>
    <w:next w:val="Normal"/>
    <w:uiPriority w:val="11"/>
    <w:qFormat/>
    <w:pPr>
      <w:keepNext/>
      <w:keepLines/>
      <w:spacing w:before="280" w:after="0" w:line="320" w:lineRule="auto"/>
      <w:jc w:val="center"/>
    </w:pPr>
    <w:rPr>
      <w:b/>
      <w:bCs/>
      <w:color w:val="E7E6E6"/>
      <w:sz w:val="40"/>
      <w:szCs w:val="40"/>
    </w:rPr>
  </w:style>
  <w:style w:type="paragraph" w:styleId="Revision">
    <w:name w:val="Revision"/>
    <w:hidden/>
    <w:uiPriority w:val="99"/>
    <w:semiHidden/>
    <w:rsid w:val="003B710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ecfr.gov/current/title-41/subtitle-C/chapter-102/subchapter-A/part-102-3/subpart-B/section-102-3.75" TargetMode="External"/><Relationship Id="rId18" Type="http://schemas.openxmlformats.org/officeDocument/2006/relationships/hyperlink" Target="https://www.ecfr.gov/current/title-41/subtitle-C/chapter-102/subchapter-A/part-102-3/subpart-C/section-102-3.130" TargetMode="External"/><Relationship Id="rId26" Type="http://schemas.openxmlformats.org/officeDocument/2006/relationships/hyperlink" Target="https://www.ecfr.gov/current/title-41/subtitle-C/chapter-102/subchapter-A/part-102-3/subpart-B/section-102-3.65" TargetMode="External"/><Relationship Id="rId3" Type="http://schemas.openxmlformats.org/officeDocument/2006/relationships/settings" Target="settings.xml"/><Relationship Id="rId21" Type="http://schemas.openxmlformats.org/officeDocument/2006/relationships/hyperlink" Target="https://www.ecfr.gov/current/title-41/subtitle-C/chapter-102/subchapter-A/part-102-3/subpart-C/section-102-3.120" TargetMode="External"/><Relationship Id="rId7" Type="http://schemas.openxmlformats.org/officeDocument/2006/relationships/footer" Target="footer1.xml"/><Relationship Id="rId12" Type="http://schemas.openxmlformats.org/officeDocument/2006/relationships/hyperlink" Target="https://www.ecfr.gov/current/title-41/section-102-3.70" TargetMode="External"/><Relationship Id="rId17" Type="http://schemas.openxmlformats.org/officeDocument/2006/relationships/hyperlink" Target="http://www.facadatabase.gov" TargetMode="External"/><Relationship Id="rId25" Type="http://schemas.openxmlformats.org/officeDocument/2006/relationships/hyperlink" Target="https://www.ecfr.gov/current/title-41/section-102-3.80"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ecfr.gov/current/title-41/subtitle-C/chapter-102/subchapter-A/part-102-3/subpart-B/section-102-3.60" TargetMode="External"/><Relationship Id="rId20" Type="http://schemas.openxmlformats.org/officeDocument/2006/relationships/hyperlink" Target="https://www.ecfr.gov/current/title-41/subtitle-C/chapter-102/subchapter-A/part-102-3/subpart-C/section-102-3.120" TargetMode="External"/><Relationship Id="rId29" Type="http://schemas.openxmlformats.org/officeDocument/2006/relationships/hyperlink" Target="https://www.ecfr.gov/current/title-41/section-102-3.6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cfr.gov/current/title-41/subtitle-C/chapter-102/subchapter-A/part-102-3" TargetMode="External"/><Relationship Id="rId24" Type="http://schemas.openxmlformats.org/officeDocument/2006/relationships/hyperlink" Target="https://www.ecfr.gov/current/title-41/subtitle-C/chapter-102/subchapter-A/part-102-3/subpart-B/section-102-3.60"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facadatabase.gov" TargetMode="External"/><Relationship Id="rId23" Type="http://schemas.openxmlformats.org/officeDocument/2006/relationships/hyperlink" Target="https://www.ecfr.gov/current/title-41/subtitle-C/chapter-102/subchapter-A/part-102-3/subpart-B/section-102-3.70" TargetMode="External"/><Relationship Id="rId28" Type="http://schemas.openxmlformats.org/officeDocument/2006/relationships/hyperlink" Target="http://www.facadatabase.gov" TargetMode="External"/><Relationship Id="rId10" Type="http://schemas.openxmlformats.org/officeDocument/2006/relationships/hyperlink" Target="https://www.ecfr.gov/current/title-41/section-102-3.70" TargetMode="External"/><Relationship Id="rId19" Type="http://schemas.openxmlformats.org/officeDocument/2006/relationships/hyperlink" Target="https://www.ecfr.gov/current/title-41/subtitle-C/chapter-102/subchapter-A/part-102-3/subpart-C/section-102-3.120" TargetMode="External"/><Relationship Id="rId31" Type="http://schemas.openxmlformats.org/officeDocument/2006/relationships/hyperlink" Target="mailto:cms@gsa.gov" TargetMode="External"/><Relationship Id="rId4" Type="http://schemas.openxmlformats.org/officeDocument/2006/relationships/webSettings" Target="webSettings.xml"/><Relationship Id="rId9" Type="http://schemas.openxmlformats.org/officeDocument/2006/relationships/hyperlink" Target="https://www.ecfr.gov/current/title-41/subtitle-C/chapter-102/subchapter-A/part-102-3" TargetMode="External"/><Relationship Id="rId14" Type="http://schemas.openxmlformats.org/officeDocument/2006/relationships/hyperlink" Target="http://www.facadatabase.gov" TargetMode="External"/><Relationship Id="rId22" Type="http://schemas.openxmlformats.org/officeDocument/2006/relationships/hyperlink" Target="https://www.archives.gov/records-mgmt/grs.html" TargetMode="External"/><Relationship Id="rId27" Type="http://schemas.openxmlformats.org/officeDocument/2006/relationships/hyperlink" Target="mailto:FACA@LOC.gov" TargetMode="External"/><Relationship Id="rId30" Type="http://schemas.openxmlformats.org/officeDocument/2006/relationships/hyperlink" Target="about:blank" TargetMode="External"/><Relationship Id="rId8" Type="http://schemas.openxmlformats.org/officeDocument/2006/relationships/hyperlink" Target="https://uscode.house.gov/view.xhtml?path=/prelim@title5/part1/chapter10&amp;edition=preli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Pages>
  <Words>2138</Words>
  <Characters>12189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TaraTDunlopJackson</dc:creator>
  <cp:lastModifiedBy>TaraTDunlopJackson</cp:lastModifiedBy>
  <cp:revision>3</cp:revision>
  <cp:lastPrinted>2026-03-30T18:18:00Z</cp:lastPrinted>
  <dcterms:created xsi:type="dcterms:W3CDTF">2026-03-30T18:19:00Z</dcterms:created>
  <dcterms:modified xsi:type="dcterms:W3CDTF">2026-03-30T18:22:00Z</dcterms:modified>
</cp:coreProperties>
</file>